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12"/>
          <w:tab w:val="right" w:pos="13323"/>
        </w:tabs>
        <w:rPr>
          <w:rFonts w:hint="default" w:eastAsia="宋体"/>
          <w:b/>
          <w:lang w:val="en-US" w:eastAsia="zh-CN"/>
        </w:rPr>
      </w:pPr>
      <w:bookmarkStart w:id="0" w:name="DocumentFor"/>
      <w:bookmarkEnd w:id="0"/>
      <w:bookmarkStart w:id="1" w:name="Title"/>
      <w:bookmarkEnd w:id="1"/>
      <w:r>
        <w:rPr>
          <w:b/>
        </w:rPr>
        <w:t>3GPP TSG RAN WG2</w:t>
      </w:r>
      <w:r>
        <w:rPr>
          <w:rFonts w:hint="eastAsia"/>
          <w:b/>
        </w:rPr>
        <w:t xml:space="preserve"> Meeting </w:t>
      </w:r>
      <w:r>
        <w:rPr>
          <w:b/>
        </w:rPr>
        <w:t>#1</w:t>
      </w:r>
      <w:r>
        <w:rPr>
          <w:rFonts w:hint="eastAsia" w:eastAsia="宋体"/>
          <w:b/>
          <w:lang w:val="en-US" w:eastAsia="zh-CN"/>
        </w:rPr>
        <w:t>29</w:t>
      </w:r>
      <w:r>
        <w:rPr>
          <w:b/>
        </w:rPr>
        <w:tab/>
      </w:r>
      <w:r>
        <w:rPr>
          <w:rFonts w:hint="eastAsia"/>
          <w:b/>
        </w:rPr>
        <w:t>R2-2501033</w:t>
      </w:r>
      <w:bookmarkStart w:id="17" w:name="_GoBack"/>
      <w:bookmarkEnd w:id="17"/>
    </w:p>
    <w:p>
      <w:pPr>
        <w:pStyle w:val="56"/>
        <w:jc w:val="left"/>
        <w:rPr>
          <w:rFonts w:hint="eastAsia" w:eastAsia="宋体" w:cs="Arial"/>
          <w:sz w:val="20"/>
          <w:szCs w:val="20"/>
          <w:lang w:val="en-US" w:eastAsia="zh-CN"/>
        </w:rPr>
      </w:pPr>
      <w:r>
        <w:rPr>
          <w:rFonts w:hint="eastAsia" w:cs="Arial"/>
          <w:sz w:val="20"/>
          <w:szCs w:val="20"/>
        </w:rPr>
        <w:t xml:space="preserve">Athens, GR, </w:t>
      </w:r>
      <w:r>
        <w:rPr>
          <w:rFonts w:hint="eastAsia" w:eastAsia="宋体" w:cs="Arial"/>
          <w:sz w:val="20"/>
          <w:szCs w:val="20"/>
          <w:lang w:val="en-US" w:eastAsia="zh-CN"/>
        </w:rPr>
        <w:t xml:space="preserve">Feb. </w:t>
      </w:r>
      <w:r>
        <w:rPr>
          <w:rFonts w:hint="eastAsia" w:cs="Arial"/>
          <w:sz w:val="20"/>
          <w:szCs w:val="20"/>
        </w:rPr>
        <w:t>1</w:t>
      </w:r>
      <w:r>
        <w:rPr>
          <w:rFonts w:hint="eastAsia" w:eastAsia="宋体" w:cs="Arial"/>
          <w:sz w:val="20"/>
          <w:szCs w:val="20"/>
          <w:lang w:val="en-US" w:eastAsia="zh-CN"/>
        </w:rPr>
        <w:t>7</w:t>
      </w:r>
      <w:r>
        <w:rPr>
          <w:rFonts w:hint="eastAsia" w:cs="Arial"/>
          <w:sz w:val="20"/>
          <w:szCs w:val="20"/>
        </w:rPr>
        <w:t xml:space="preserve"> – 2</w:t>
      </w:r>
      <w:r>
        <w:rPr>
          <w:rFonts w:hint="eastAsia" w:eastAsia="宋体" w:cs="Arial"/>
          <w:sz w:val="20"/>
          <w:szCs w:val="20"/>
          <w:lang w:val="en-US" w:eastAsia="zh-CN"/>
        </w:rPr>
        <w:t>1</w:t>
      </w:r>
      <w:r>
        <w:rPr>
          <w:rFonts w:hint="eastAsia" w:cs="Arial"/>
          <w:sz w:val="20"/>
          <w:szCs w:val="20"/>
        </w:rPr>
        <w:t>, 202</w:t>
      </w:r>
      <w:r>
        <w:rPr>
          <w:rFonts w:hint="eastAsia" w:eastAsia="宋体" w:cs="Arial"/>
          <w:sz w:val="20"/>
          <w:szCs w:val="20"/>
          <w:lang w:val="en-US" w:eastAsia="zh-CN"/>
        </w:rPr>
        <w:t>5</w:t>
      </w:r>
    </w:p>
    <w:p>
      <w:pPr>
        <w:pStyle w:val="56"/>
        <w:jc w:val="left"/>
        <w:rPr>
          <w:rFonts w:hint="default" w:eastAsia="宋体" w:cs="Arial"/>
          <w:sz w:val="20"/>
          <w:lang w:val="en-US" w:eastAsia="zh-CN"/>
        </w:rPr>
      </w:pPr>
      <w:r>
        <w:rPr>
          <w:rFonts w:cs="Arial"/>
          <w:sz w:val="20"/>
        </w:rPr>
        <w:t>Agenda Item:</w:t>
      </w:r>
      <w:r>
        <w:rPr>
          <w:rFonts w:cs="Arial"/>
          <w:sz w:val="20"/>
        </w:rPr>
        <w:tab/>
      </w:r>
      <w:r>
        <w:rPr>
          <w:rFonts w:hint="eastAsia" w:eastAsia="宋体" w:cs="Arial"/>
          <w:sz w:val="20"/>
          <w:lang w:val="en-US" w:eastAsia="zh-CN"/>
        </w:rPr>
        <w:t>8.8.4</w:t>
      </w:r>
    </w:p>
    <w:p>
      <w:pPr>
        <w:pStyle w:val="56"/>
        <w:jc w:val="left"/>
        <w:rPr>
          <w:rFonts w:cs="Arial"/>
          <w:sz w:val="20"/>
        </w:rPr>
      </w:pPr>
      <w:r>
        <w:rPr>
          <w:rFonts w:cs="Arial"/>
          <w:sz w:val="20"/>
        </w:rPr>
        <w:t>Source:</w:t>
      </w:r>
      <w:r>
        <w:rPr>
          <w:rFonts w:cs="Arial"/>
          <w:sz w:val="20"/>
        </w:rPr>
        <w:tab/>
      </w:r>
      <w:r>
        <w:rPr>
          <w:rFonts w:eastAsia="宋体" w:cs="Arial"/>
          <w:sz w:val="20"/>
        </w:rPr>
        <w:t>CMCC</w:t>
      </w:r>
      <w:r>
        <w:rPr>
          <w:rFonts w:eastAsia="宋体" w:cs="Arial"/>
          <w:sz w:val="20"/>
        </w:rPr>
        <w:tab/>
      </w:r>
    </w:p>
    <w:p>
      <w:pPr>
        <w:pStyle w:val="56"/>
        <w:jc w:val="left"/>
        <w:rPr>
          <w:rFonts w:hint="default" w:cs="Arial" w:eastAsiaTheme="minorEastAsia"/>
          <w:sz w:val="20"/>
          <w:lang w:val="en-US" w:eastAsia="zh-CN"/>
        </w:rPr>
      </w:pPr>
      <w:r>
        <w:rPr>
          <w:rFonts w:cs="Arial"/>
          <w:sz w:val="20"/>
        </w:rPr>
        <w:t>Title:</w:t>
      </w:r>
      <w:r>
        <w:rPr>
          <w:rFonts w:cs="Arial"/>
          <w:sz w:val="20"/>
        </w:rPr>
        <w:tab/>
      </w:r>
      <w:r>
        <w:rPr>
          <w:rFonts w:hint="eastAsia" w:eastAsia="宋体" w:cs="Arial"/>
          <w:sz w:val="20"/>
          <w:lang w:val="en-US" w:eastAsia="zh-CN"/>
        </w:rPr>
        <w:t xml:space="preserve">Considerations on </w:t>
      </w:r>
      <w:r>
        <w:rPr>
          <w:rFonts w:hint="eastAsia" w:cs="Arial" w:eastAsiaTheme="minorEastAsia"/>
          <w:sz w:val="20"/>
          <w:lang w:val="en-US" w:eastAsia="zh-CN"/>
        </w:rPr>
        <w:t>broadcast service for NR NTN</w:t>
      </w:r>
    </w:p>
    <w:p>
      <w:pPr>
        <w:pStyle w:val="56"/>
        <w:jc w:val="left"/>
        <w:rPr>
          <w:rFonts w:cs="Arial" w:eastAsiaTheme="minorEastAsia"/>
          <w:sz w:val="20"/>
        </w:rPr>
      </w:pPr>
      <w:r>
        <w:rPr>
          <w:rFonts w:cs="Arial"/>
          <w:sz w:val="20"/>
        </w:rPr>
        <w:t>Document for:</w:t>
      </w:r>
      <w:r>
        <w:rPr>
          <w:rFonts w:cs="Arial"/>
          <w:sz w:val="20"/>
        </w:rPr>
        <w:tab/>
      </w:r>
      <w:r>
        <w:rPr>
          <w:rFonts w:cs="Arial"/>
          <w:sz w:val="20"/>
        </w:rPr>
        <w:t>Discussion, Decision</w:t>
      </w:r>
    </w:p>
    <w:p>
      <w:pPr>
        <w:pStyle w:val="2"/>
        <w:rPr>
          <w:rFonts w:cs="Arial"/>
          <w:sz w:val="32"/>
          <w:szCs w:val="32"/>
        </w:rPr>
      </w:pPr>
      <w:r>
        <w:rPr>
          <w:rFonts w:cs="Arial"/>
          <w:sz w:val="32"/>
          <w:szCs w:val="32"/>
        </w:rPr>
        <w:t>Introduction</w:t>
      </w:r>
    </w:p>
    <w:p>
      <w:pPr>
        <w:suppressAutoHyphens/>
        <w:adjustRightInd/>
        <w:spacing w:before="120"/>
      </w:pPr>
      <w:r>
        <w:rPr>
          <w:rFonts w:eastAsiaTheme="minorEastAsia"/>
          <w:bCs/>
        </w:rPr>
        <w:t xml:space="preserve">In </w:t>
      </w:r>
      <w:r>
        <w:rPr>
          <w:rFonts w:hint="default" w:eastAsiaTheme="minorEastAsia"/>
          <w:bCs/>
          <w:lang w:val="en-US"/>
        </w:rPr>
        <w:t>last RAN2</w:t>
      </w:r>
      <w:r>
        <w:rPr>
          <w:rFonts w:hint="eastAsia" w:eastAsiaTheme="minorEastAsia"/>
          <w:bCs/>
          <w:lang w:val="en-US" w:eastAsia="zh-CN"/>
        </w:rPr>
        <w:t xml:space="preserve"> </w:t>
      </w:r>
      <w:r>
        <w:rPr>
          <w:rFonts w:eastAsiaTheme="minorEastAsia"/>
          <w:bCs/>
        </w:rPr>
        <w:t xml:space="preserve">meeting, </w:t>
      </w:r>
      <w:r>
        <w:rPr>
          <w:rFonts w:hint="eastAsia" w:cs="Arial" w:eastAsiaTheme="minorEastAsia"/>
          <w:bCs/>
        </w:rPr>
        <w:t>there were some discussions</w:t>
      </w:r>
      <w:r>
        <w:rPr>
          <w:rFonts w:cs="Arial" w:eastAsiaTheme="minorEastAsia"/>
          <w:bCs/>
        </w:rPr>
        <w:t xml:space="preserve"> </w:t>
      </w:r>
      <w:r>
        <w:rPr>
          <w:rFonts w:hint="eastAsia" w:cs="Arial" w:eastAsiaTheme="minorEastAsia"/>
          <w:bCs/>
          <w:lang w:val="en-US" w:eastAsia="zh-CN"/>
        </w:rPr>
        <w:t>on support of broadcast service</w:t>
      </w:r>
      <w:r>
        <w:rPr>
          <w:rFonts w:cs="Arial" w:eastAsiaTheme="minorEastAsia"/>
          <w:bCs/>
        </w:rPr>
        <w:t xml:space="preserve"> and some agreements were achieved as follows</w:t>
      </w:r>
      <w:r>
        <w:rPr>
          <w:rFonts w:hint="default" w:cs="Arial" w:eastAsiaTheme="minorEastAsia"/>
          <w:bCs/>
          <w:lang w:val="en-US"/>
        </w:rPr>
        <w:t xml:space="preserve"> [1]</w:t>
      </w:r>
      <w:r>
        <w:rPr>
          <w:rFonts w:cs="Arial" w:eastAsiaTheme="minorEastAsia"/>
          <w:bCs/>
        </w:rPr>
        <w:t>:</w:t>
      </w:r>
      <w:r>
        <w:rPr>
          <w:rFonts w:hint="default" w:cs="Arial" w:eastAsiaTheme="minorEastAsia"/>
          <w:bCs/>
          <w:lang w:val="en-US"/>
        </w:rPr>
        <w:t xml:space="preserve"> </w:t>
      </w:r>
    </w:p>
    <w:p>
      <w:pPr>
        <w:pStyle w:val="54"/>
        <w:pBdr>
          <w:top w:val="single" w:color="auto" w:sz="4" w:space="1"/>
          <w:left w:val="single" w:color="auto" w:sz="4" w:space="1"/>
          <w:bottom w:val="single" w:color="auto" w:sz="4" w:space="1"/>
          <w:right w:val="single" w:color="auto" w:sz="4" w:space="1"/>
        </w:pBdr>
      </w:pPr>
      <w:r>
        <w:t>Agreements:</w:t>
      </w:r>
    </w:p>
    <w:p>
      <w:pPr>
        <w:pStyle w:val="54"/>
        <w:pBdr>
          <w:top w:val="single" w:color="auto" w:sz="4" w:space="1"/>
          <w:left w:val="single" w:color="auto" w:sz="4" w:space="1"/>
          <w:bottom w:val="single" w:color="auto" w:sz="4" w:space="1"/>
          <w:right w:val="single" w:color="auto" w:sz="4" w:space="1"/>
        </w:pBdr>
      </w:pPr>
      <w:r>
        <w:t>1.</w:t>
      </w:r>
      <w:r>
        <w:tab/>
      </w:r>
      <w:r>
        <w:t>The encoding of TN coverage introduced in Rel-18 in TS38.331, including tn-ReferenceLocation-r18 and tn-DistanceRadius-r18, is reused for the geographical area of the circle.</w:t>
      </w:r>
    </w:p>
    <w:p>
      <w:pPr>
        <w:pStyle w:val="54"/>
        <w:pBdr>
          <w:top w:val="single" w:color="auto" w:sz="4" w:space="1"/>
          <w:left w:val="single" w:color="auto" w:sz="4" w:space="1"/>
          <w:bottom w:val="single" w:color="auto" w:sz="4" w:space="1"/>
          <w:right w:val="single" w:color="auto" w:sz="4" w:space="1"/>
        </w:pBdr>
      </w:pPr>
      <w:r>
        <w:t>2.</w:t>
      </w:r>
      <w:r>
        <w:tab/>
      </w:r>
      <w:r>
        <w:t>The encoding of Polygon in TS37.355 is reused for the geographical area of the Polygon.</w:t>
      </w:r>
    </w:p>
    <w:p>
      <w:pPr>
        <w:pStyle w:val="54"/>
        <w:pBdr>
          <w:top w:val="single" w:color="auto" w:sz="4" w:space="1"/>
          <w:left w:val="single" w:color="auto" w:sz="4" w:space="1"/>
          <w:bottom w:val="single" w:color="auto" w:sz="4" w:space="1"/>
          <w:right w:val="single" w:color="auto" w:sz="4" w:space="1"/>
        </w:pBdr>
      </w:pPr>
      <w:r>
        <w:t>3.</w:t>
      </w:r>
      <w:r>
        <w:tab/>
      </w:r>
      <w:r>
        <w:t>The IntendedServiceArea is considered as the IE name of the geographical area (we can still update the name in the CR implementation if needed)</w:t>
      </w:r>
    </w:p>
    <w:p>
      <w:pPr>
        <w:pStyle w:val="54"/>
        <w:pBdr>
          <w:top w:val="single" w:color="auto" w:sz="4" w:space="1"/>
          <w:left w:val="single" w:color="auto" w:sz="4" w:space="1"/>
          <w:bottom w:val="single" w:color="auto" w:sz="4" w:space="1"/>
          <w:right w:val="single" w:color="auto" w:sz="4" w:space="1"/>
        </w:pBdr>
      </w:pPr>
      <w:r>
        <w:t>4.</w:t>
      </w:r>
      <w:r>
        <w:tab/>
      </w:r>
      <w:r>
        <w:t>A signalled intended service area for a MBS BC service may include geographic areas across the current serving cell and overlapping neighbor cell(s).</w:t>
      </w:r>
    </w:p>
    <w:p>
      <w:pPr>
        <w:pStyle w:val="54"/>
        <w:pBdr>
          <w:top w:val="single" w:color="auto" w:sz="4" w:space="1"/>
          <w:left w:val="single" w:color="auto" w:sz="4" w:space="1"/>
          <w:bottom w:val="single" w:color="auto" w:sz="4" w:space="1"/>
          <w:right w:val="single" w:color="auto" w:sz="4" w:space="1"/>
        </w:pBdr>
      </w:pPr>
      <w:r>
        <w:t>5.</w:t>
      </w:r>
      <w:r>
        <w:tab/>
      </w:r>
      <w:r>
        <w:t xml:space="preserve">RAN2 understands that the geographic area information for the intended service areas can be semi-static and not cause frequent updates.  </w:t>
      </w:r>
    </w:p>
    <w:p>
      <w:pPr>
        <w:pStyle w:val="54"/>
        <w:pBdr>
          <w:top w:val="single" w:color="auto" w:sz="4" w:space="1"/>
          <w:left w:val="single" w:color="auto" w:sz="4" w:space="1"/>
          <w:bottom w:val="single" w:color="auto" w:sz="4" w:space="1"/>
          <w:right w:val="single" w:color="auto" w:sz="4" w:space="1"/>
        </w:pBdr>
      </w:pPr>
      <w:r>
        <w:t>6.</w:t>
      </w:r>
      <w:r>
        <w:tab/>
      </w:r>
      <w:r>
        <w:t>Introduce a new SIB to include a list of intended service areas and related pointer (FFS if we point to the intended services areas via the index in the list or with an ID or another way)</w:t>
      </w:r>
    </w:p>
    <w:p>
      <w:pPr>
        <w:pStyle w:val="54"/>
        <w:pBdr>
          <w:top w:val="single" w:color="auto" w:sz="4" w:space="1"/>
          <w:left w:val="single" w:color="auto" w:sz="4" w:space="1"/>
          <w:bottom w:val="single" w:color="auto" w:sz="4" w:space="1"/>
          <w:right w:val="single" w:color="auto" w:sz="4" w:space="1"/>
        </w:pBdr>
      </w:pPr>
      <w:r>
        <w:t>7.</w:t>
      </w:r>
      <w:r>
        <w:tab/>
      </w:r>
      <w:r>
        <w:t>The legacy SIB modification procedure is applied to update the intended service area information in the new SIB.</w:t>
      </w:r>
    </w:p>
    <w:p>
      <w:pPr>
        <w:suppressAutoHyphens/>
        <w:adjustRightInd/>
        <w:spacing w:before="120"/>
        <w:rPr>
          <w:rFonts w:eastAsiaTheme="minorEastAsia"/>
        </w:rPr>
      </w:pPr>
      <w:r>
        <w:rPr>
          <w:rFonts w:hint="eastAsia" w:cs="Arial" w:eastAsiaTheme="minorEastAsia"/>
        </w:rPr>
        <w:t>I</w:t>
      </w:r>
      <w:r>
        <w:rPr>
          <w:rFonts w:cs="Arial"/>
        </w:rPr>
        <w:t xml:space="preserve">n this contribution, we would like to provide </w:t>
      </w:r>
      <w:r>
        <w:rPr>
          <w:rFonts w:hint="eastAsia" w:cs="Arial" w:eastAsiaTheme="minorEastAsia"/>
          <w:lang w:val="en-US" w:eastAsia="zh-CN"/>
        </w:rPr>
        <w:t>some further considerations</w:t>
      </w:r>
      <w:r>
        <w:rPr>
          <w:rFonts w:hint="eastAsia" w:cs="Arial" w:eastAsiaTheme="minorEastAsia"/>
        </w:rPr>
        <w:t xml:space="preserve"> </w:t>
      </w:r>
      <w:r>
        <w:rPr>
          <w:rFonts w:cs="Arial"/>
        </w:rPr>
        <w:t xml:space="preserve">on the </w:t>
      </w:r>
      <w:r>
        <w:rPr>
          <w:rFonts w:hint="eastAsia" w:eastAsia="宋体" w:cs="Arial"/>
          <w:lang w:val="en-US" w:eastAsia="zh-CN"/>
        </w:rPr>
        <w:t>remaining issues for broadcast</w:t>
      </w:r>
      <w:r>
        <w:rPr>
          <w:rFonts w:cs="Arial"/>
        </w:rPr>
        <w:t xml:space="preserve"> </w:t>
      </w:r>
      <w:r>
        <w:rPr>
          <w:rFonts w:hint="eastAsia" w:eastAsia="宋体" w:cs="Arial"/>
          <w:lang w:val="en-US" w:eastAsia="zh-CN"/>
        </w:rPr>
        <w:t>service in</w:t>
      </w:r>
      <w:r>
        <w:rPr>
          <w:rFonts w:cs="Arial"/>
        </w:rPr>
        <w:t xml:space="preserve"> </w:t>
      </w:r>
      <w:r>
        <w:rPr>
          <w:rFonts w:hint="eastAsia" w:eastAsia="宋体" w:cs="Arial"/>
          <w:lang w:val="en-US" w:eastAsia="zh-CN"/>
        </w:rPr>
        <w:t>NTN system</w:t>
      </w:r>
      <w:r>
        <w:rPr>
          <w:rFonts w:hint="eastAsia" w:cs="Arial" w:eastAsiaTheme="minorEastAsia"/>
        </w:rPr>
        <w:t>.</w:t>
      </w:r>
    </w:p>
    <w:p>
      <w:pPr>
        <w:pStyle w:val="2"/>
        <w:rPr>
          <w:rFonts w:hint="default" w:eastAsiaTheme="minorEastAsia"/>
          <w:bCs/>
          <w:sz w:val="32"/>
          <w:szCs w:val="32"/>
          <w:u w:val="single"/>
          <w:lang w:val="en-US" w:eastAsia="zh-CN"/>
        </w:rPr>
      </w:pPr>
      <w:r>
        <w:rPr>
          <w:rFonts w:cs="Arial"/>
          <w:sz w:val="32"/>
          <w:szCs w:val="32"/>
        </w:rPr>
        <w:t>Discussion</w:t>
      </w:r>
      <w:bookmarkStart w:id="2" w:name="_Hlk41985036"/>
    </w:p>
    <w:p>
      <w:pPr>
        <w:pStyle w:val="4"/>
        <w:bidi w:val="0"/>
        <w:rPr>
          <w:rFonts w:hint="eastAsia"/>
          <w:b/>
          <w:bCs/>
          <w:lang w:val="en-US" w:eastAsia="zh-CN"/>
        </w:rPr>
      </w:pPr>
      <w:r>
        <w:rPr>
          <w:rFonts w:hint="eastAsia"/>
          <w:b/>
          <w:bCs/>
          <w:lang w:val="en-US" w:eastAsia="zh-CN"/>
        </w:rPr>
        <w:t xml:space="preserve"> Pointer for intended service area</w:t>
      </w:r>
    </w:p>
    <w:p>
      <w:pPr>
        <w:pStyle w:val="60"/>
        <w:numPr>
          <w:ilvl w:val="0"/>
          <w:numId w:val="0"/>
        </w:numPr>
        <w:spacing w:after="0"/>
        <w:rPr>
          <w:rFonts w:hint="default" w:eastAsia="宋体"/>
          <w:b w:val="0"/>
          <w:bCs w:val="0"/>
          <w:lang w:val="en-US" w:eastAsia="zh-CN"/>
        </w:rPr>
      </w:pPr>
      <w:r>
        <w:rPr>
          <w:rFonts w:hint="eastAsia" w:eastAsia="宋体"/>
          <w:b w:val="0"/>
          <w:bCs w:val="0"/>
          <w:lang w:val="en-US" w:eastAsia="zh-CN"/>
        </w:rPr>
        <w:t xml:space="preserve">In last meeting, we agreed to introduce a new SIB to include a list of intended service areas and related pointer and specific format of the pointer is FFS. As known, for TN coverage, we introduced </w:t>
      </w:r>
      <w:r>
        <w:t>tn-AreaId-r18</w:t>
      </w:r>
      <w:r>
        <w:rPr>
          <w:rFonts w:hint="eastAsia" w:eastAsia="宋体"/>
          <w:lang w:val="en-US" w:eastAsia="zh-CN"/>
        </w:rPr>
        <w:t xml:space="preserve"> which is related to a group of TN cells used for NTN-TN recelection, and in SIB4/5 indicates the specific TN coverage based on </w:t>
      </w:r>
      <w:r>
        <w:rPr>
          <w:i/>
          <w:iCs/>
        </w:rPr>
        <w:t>tn-AreaIdList-r18</w:t>
      </w:r>
      <w:r>
        <w:rPr>
          <w:rFonts w:hint="eastAsia" w:eastAsia="宋体"/>
          <w:i/>
          <w:iCs/>
          <w:lang w:val="en-US" w:eastAsia="zh-CN"/>
        </w:rPr>
        <w:t xml:space="preserve">. </w:t>
      </w:r>
      <w:r>
        <w:rPr>
          <w:rFonts w:hint="eastAsia" w:eastAsia="宋体"/>
          <w:i w:val="0"/>
          <w:iCs w:val="0"/>
          <w:lang w:val="en-US" w:eastAsia="zh-CN"/>
        </w:rPr>
        <w:t xml:space="preserve">However, for MBS intended service areas, we have agreed to </w:t>
      </w:r>
      <w:r>
        <w:rPr>
          <w:rFonts w:hint="eastAsia" w:eastAsia="宋体"/>
          <w:b w:val="0"/>
          <w:bCs w:val="0"/>
          <w:lang w:val="en-US" w:eastAsia="zh-CN"/>
        </w:rPr>
        <w:t>to include a list of intended service areas, to be simple, we could just use the index in the service area list in anywhere requiring service area information.</w:t>
      </w:r>
    </w:p>
    <w:p>
      <w:pPr>
        <w:pStyle w:val="60"/>
        <w:spacing w:after="0"/>
        <w:ind w:left="0" w:firstLine="0"/>
        <w:rPr>
          <w:rFonts w:hint="default" w:eastAsiaTheme="minorEastAsia"/>
          <w:b w:val="0"/>
          <w:bCs/>
          <w:lang w:val="en-US" w:eastAsia="zh-CN"/>
        </w:rPr>
      </w:pPr>
      <w:r>
        <w:rPr>
          <w:rFonts w:hint="eastAsia" w:eastAsiaTheme="minorEastAsia"/>
          <w:b w:val="0"/>
          <w:bCs/>
          <w:lang w:val="en-US" w:eastAsia="zh-CN"/>
        </w:rPr>
        <w:t>Then to support both the circle and p</w:t>
      </w:r>
      <w:r>
        <w:t xml:space="preserve">olygon </w:t>
      </w:r>
      <w:r>
        <w:rPr>
          <w:rFonts w:hint="eastAsia" w:eastAsiaTheme="minorEastAsia"/>
          <w:b w:val="0"/>
          <w:bCs/>
          <w:lang w:val="en-US" w:eastAsia="zh-CN"/>
        </w:rPr>
        <w:t xml:space="preserve">solutions, a </w:t>
      </w:r>
      <w:r>
        <w:rPr>
          <w:rFonts w:hint="default" w:eastAsiaTheme="minorEastAsia"/>
          <w:b w:val="0"/>
          <w:bCs/>
          <w:lang w:val="en-US" w:eastAsia="zh-CN"/>
        </w:rPr>
        <w:t>“</w:t>
      </w:r>
      <w:r>
        <w:rPr>
          <w:rFonts w:hint="eastAsia" w:eastAsiaTheme="minorEastAsia"/>
          <w:b w:val="0"/>
          <w:bCs/>
          <w:lang w:val="en-US" w:eastAsia="zh-CN"/>
        </w:rPr>
        <w:t>CHOICE</w:t>
      </w:r>
      <w:r>
        <w:rPr>
          <w:rFonts w:hint="default" w:eastAsiaTheme="minorEastAsia"/>
          <w:b w:val="0"/>
          <w:bCs/>
          <w:lang w:val="en-US" w:eastAsia="zh-CN"/>
        </w:rPr>
        <w:t>”</w:t>
      </w:r>
      <w:r>
        <w:rPr>
          <w:rFonts w:hint="eastAsia" w:eastAsiaTheme="minorEastAsia"/>
          <w:b w:val="0"/>
          <w:bCs/>
          <w:lang w:val="en-US" w:eastAsia="zh-CN"/>
        </w:rPr>
        <w:t xml:space="preserve"> signaling structure could be considered. And based on NW configuration to provide the intended service area information</w:t>
      </w:r>
    </w:p>
    <w:p>
      <w:pPr>
        <w:pStyle w:val="60"/>
        <w:spacing w:after="0"/>
        <w:ind w:left="0" w:leftChars="0" w:firstLine="0" w:firstLineChars="0"/>
        <w:rPr>
          <w:rFonts w:hint="default" w:ascii="Arial" w:hAnsi="Arial" w:cs="Arial" w:eastAsiaTheme="minorEastAsia"/>
          <w:b/>
          <w:bCs w:val="0"/>
          <w:lang w:val="en-US" w:eastAsia="zh-CN"/>
        </w:rPr>
      </w:pPr>
      <w:r>
        <w:rPr>
          <w:rFonts w:hint="default" w:ascii="Arial" w:hAnsi="Arial" w:cs="Arial" w:eastAsiaTheme="minorEastAsia"/>
          <w:b/>
          <w:bCs w:val="0"/>
          <w:lang w:val="en-US" w:eastAsia="zh-CN"/>
        </w:rPr>
        <w:t xml:space="preserve">Proposal </w:t>
      </w:r>
      <w:r>
        <w:rPr>
          <w:rFonts w:hint="eastAsia" w:cs="Arial" w:eastAsiaTheme="minorEastAsia"/>
          <w:b/>
          <w:bCs w:val="0"/>
          <w:lang w:val="en-US" w:eastAsia="zh-CN"/>
        </w:rPr>
        <w:t>1</w:t>
      </w:r>
      <w:r>
        <w:rPr>
          <w:rFonts w:hint="default" w:ascii="Arial" w:hAnsi="Arial" w:cs="Arial" w:eastAsiaTheme="minorEastAsia"/>
          <w:b/>
          <w:bCs w:val="0"/>
          <w:lang w:val="en-US" w:eastAsia="zh-CN"/>
        </w:rPr>
        <w:t xml:space="preserve">: </w:t>
      </w:r>
      <w:r>
        <w:rPr>
          <w:rFonts w:hint="eastAsia" w:cs="Arial" w:eastAsiaTheme="minorEastAsia"/>
          <w:b/>
          <w:bCs w:val="0"/>
          <w:lang w:val="en-US" w:eastAsia="zh-CN"/>
        </w:rPr>
        <w:t xml:space="preserve">For the service area pointer, we could </w:t>
      </w:r>
      <w:r>
        <w:rPr>
          <w:rFonts w:hint="default" w:ascii="Arial" w:hAnsi="Arial" w:cs="Arial" w:eastAsiaTheme="minorEastAsia"/>
          <w:b/>
          <w:bCs w:val="0"/>
          <w:lang w:val="en-US" w:eastAsia="zh-CN"/>
        </w:rPr>
        <w:t>just use the index in the service area list in anywhere requiring service area information.</w:t>
      </w:r>
    </w:p>
    <w:p>
      <w:pPr>
        <w:pStyle w:val="60"/>
        <w:spacing w:after="0"/>
        <w:ind w:left="0" w:leftChars="0" w:firstLine="0" w:firstLineChars="0"/>
        <w:rPr>
          <w:rFonts w:hint="eastAsia" w:eastAsia="宋体"/>
          <w:lang w:val="en-US" w:eastAsia="zh-CN"/>
        </w:rPr>
      </w:pPr>
      <w:r>
        <w:rPr>
          <w:rFonts w:hint="eastAsia" w:cs="Arial" w:eastAsiaTheme="minorEastAsia"/>
          <w:b/>
          <w:bCs w:val="0"/>
          <w:lang w:val="en-US" w:eastAsia="zh-CN"/>
        </w:rPr>
        <w:t xml:space="preserve">Proposal 2: </w:t>
      </w:r>
      <w:r>
        <w:rPr>
          <w:rFonts w:hint="default" w:ascii="Arial" w:hAnsi="Arial" w:cs="Arial" w:eastAsiaTheme="minorEastAsia"/>
          <w:b/>
          <w:bCs w:val="0"/>
          <w:lang w:val="en-US" w:eastAsia="zh-CN"/>
        </w:rPr>
        <w:t>It is proposed to use “CHOICE” signaling structure to support both the service area format solutions.</w:t>
      </w:r>
    </w:p>
    <w:p>
      <w:pPr>
        <w:pStyle w:val="4"/>
        <w:bidi w:val="0"/>
        <w:rPr>
          <w:rFonts w:hint="eastAsia"/>
          <w:b/>
          <w:bCs/>
          <w:lang w:val="en-US" w:eastAsia="zh-CN"/>
        </w:rPr>
      </w:pPr>
      <w:r>
        <w:rPr>
          <w:rFonts w:hint="eastAsia"/>
          <w:b/>
          <w:bCs/>
          <w:lang w:val="en-US" w:eastAsia="zh-CN"/>
        </w:rPr>
        <w:t xml:space="preserve"> MCCH acquisition relaxation</w:t>
      </w:r>
    </w:p>
    <w:p>
      <w:pPr>
        <w:pStyle w:val="60"/>
        <w:spacing w:after="0"/>
        <w:ind w:left="0" w:firstLine="0"/>
        <w:rPr>
          <w:rFonts w:hint="eastAsia" w:eastAsia="宋体"/>
          <w:lang w:val="en-US" w:eastAsia="zh-CN"/>
        </w:rPr>
      </w:pPr>
      <w:r>
        <w:rPr>
          <w:rFonts w:hint="eastAsia" w:eastAsiaTheme="minorEastAsia"/>
          <w:b w:val="0"/>
          <w:bCs/>
          <w:lang w:val="en-US" w:eastAsia="zh-CN"/>
        </w:rPr>
        <w:t xml:space="preserve">To facilitate MCCH acquisition relaxation, a solution that provide the ISA ID </w:t>
      </w:r>
      <w:r>
        <w:t>in the MBS Service Announcement</w:t>
      </w:r>
      <w:r>
        <w:rPr>
          <w:rFonts w:hint="eastAsia" w:eastAsia="宋体"/>
          <w:lang w:val="en-US" w:eastAsia="zh-CN"/>
        </w:rPr>
        <w:t xml:space="preserve"> is discussed and no agreement is achieved.</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111"/>
              <w:rPr>
                <w:sz w:val="20"/>
                <w:szCs w:val="20"/>
              </w:rPr>
            </w:pPr>
            <w:r>
              <w:rPr>
                <w:sz w:val="20"/>
                <w:szCs w:val="20"/>
              </w:rPr>
              <w:t>Proposal 3</w:t>
            </w:r>
            <w:r>
              <w:rPr>
                <w:sz w:val="20"/>
                <w:szCs w:val="20"/>
              </w:rPr>
              <w:tab/>
            </w:r>
            <w:r>
              <w:rPr>
                <w:sz w:val="20"/>
                <w:szCs w:val="20"/>
              </w:rPr>
              <w:t>If ISA is sent in SIB, the ISA ID is provided in the MBS Service Announcement to facilitate MCCH acquisition relaxation. RAN2 sends an LS to SA2.</w:t>
            </w:r>
          </w:p>
          <w:p>
            <w:pPr>
              <w:pStyle w:val="54"/>
            </w:pPr>
            <w:r>
              <w:t>-</w:t>
            </w:r>
            <w:r>
              <w:tab/>
            </w:r>
            <w:r>
              <w:t>Apple wonders if this means that ISA ID should become a globally unique identifier</w:t>
            </w:r>
          </w:p>
          <w:p>
            <w:pPr>
              <w:pStyle w:val="54"/>
            </w:pPr>
            <w:r>
              <w:t>-</w:t>
            </w:r>
            <w:r>
              <w:tab/>
            </w:r>
            <w:r>
              <w:t>ZTE sees some benefit and is fine to further discuss this</w:t>
            </w:r>
          </w:p>
          <w:p>
            <w:pPr>
              <w:pStyle w:val="54"/>
            </w:pPr>
            <w:r>
              <w:t>-</w:t>
            </w:r>
            <w:r>
              <w:tab/>
            </w:r>
            <w:r>
              <w:t>CATT thinks it’s late to add more work to SA2/CT1 for this</w:t>
            </w:r>
          </w:p>
          <w:p>
            <w:pPr>
              <w:pStyle w:val="54"/>
            </w:pPr>
            <w:r>
              <w:t>-</w:t>
            </w:r>
            <w:r>
              <w:tab/>
            </w:r>
            <w:r>
              <w:t>Samsung thinks we can address the issue to avoid reading MCCH when not needed directly in RAN2 without involving other groups</w:t>
            </w:r>
          </w:p>
          <w:p>
            <w:pPr>
              <w:pStyle w:val="54"/>
            </w:pPr>
            <w:r>
              <w:t>-</w:t>
            </w:r>
            <w:r>
              <w:tab/>
            </w:r>
            <w:r>
              <w:t>Apple/Xiaomi think this would require coordination between RAN and CN and then involve other groups. Ericsson thinks the coordination will be there</w:t>
            </w:r>
          </w:p>
          <w:p>
            <w:pPr>
              <w:pStyle w:val="107"/>
              <w:rPr>
                <w:rFonts w:hint="default" w:eastAsia="宋体"/>
                <w:vertAlign w:val="baseline"/>
                <w:lang w:val="en-US" w:eastAsia="zh-CN"/>
              </w:rPr>
            </w:pPr>
            <w:r>
              <w:t>Continue the discussion in the next meeting</w:t>
            </w:r>
          </w:p>
        </w:tc>
      </w:tr>
    </w:tbl>
    <w:p>
      <w:pPr>
        <w:pStyle w:val="60"/>
        <w:spacing w:after="0"/>
        <w:ind w:left="0" w:firstLine="0"/>
        <w:rPr>
          <w:rFonts w:hint="eastAsia" w:eastAsia="宋体"/>
          <w:lang w:val="en-US" w:eastAsia="zh-CN"/>
        </w:rPr>
      </w:pPr>
    </w:p>
    <w:p>
      <w:pPr>
        <w:pStyle w:val="60"/>
        <w:spacing w:after="0"/>
        <w:ind w:left="0" w:firstLine="0"/>
        <w:rPr>
          <w:rFonts w:hint="default" w:eastAsia="宋体"/>
          <w:lang w:val="en-US" w:eastAsia="zh-CN"/>
        </w:rPr>
      </w:pPr>
      <w:r>
        <w:rPr>
          <w:rFonts w:hint="eastAsia" w:eastAsia="宋体"/>
          <w:lang w:val="en-US" w:eastAsia="zh-CN"/>
        </w:rPr>
        <w:t xml:space="preserve">From our perspective, based on the WID scope, the enhancements for broadcast service for NTN only involve RAN work. </w:t>
      </w:r>
      <w:r>
        <w:rPr>
          <w:rFonts w:hint="eastAsia" w:eastAsiaTheme="minorEastAsia"/>
          <w:b w:val="0"/>
          <w:bCs/>
          <w:lang w:val="en-US" w:eastAsia="zh-CN"/>
        </w:rPr>
        <w:t>Further MBS service announcement solution would have impact on SA2, while they only has limited remaining time for R19, which means SA2 is most likely running out of time to discuss and solve the issue. Therefore, facilitate MCCH acquisition relaxation based on MBS service announcement solution should not be pursued in R19.</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numPr>
                <w:ilvl w:val="0"/>
                <w:numId w:val="11"/>
              </w:numPr>
              <w:spacing w:after="0" w:line="276" w:lineRule="auto"/>
              <w:rPr>
                <w:rFonts w:hint="default" w:ascii="Arial" w:hAnsi="Arial" w:eastAsia="Malgun Gothic" w:cs="Arial"/>
                <w:lang w:val="en-US" w:eastAsia="ko-KR"/>
              </w:rPr>
            </w:pPr>
            <w:r>
              <w:rPr>
                <w:rFonts w:hint="default" w:ascii="Arial" w:hAnsi="Arial" w:eastAsia="Malgun Gothic" w:cs="Arial"/>
                <w:lang w:val="en-US" w:eastAsia="ko-KR"/>
              </w:rPr>
              <w:t>Specify signaling of the intended service area of a broadcast service (e.g. MBS broadcast) via NR NTN [RAN2, RAN3]</w:t>
            </w:r>
          </w:p>
          <w:p>
            <w:pPr>
              <w:pStyle w:val="109"/>
              <w:widowControl w:val="0"/>
              <w:numPr>
                <w:ilvl w:val="0"/>
                <w:numId w:val="12"/>
              </w:numPr>
              <w:spacing w:after="0"/>
              <w:ind w:hanging="357"/>
              <w:jc w:val="both"/>
              <w:rPr>
                <w:rFonts w:hint="default" w:ascii="Arial" w:hAnsi="Arial" w:cs="Arial"/>
                <w:sz w:val="20"/>
                <w:szCs w:val="20"/>
              </w:rPr>
            </w:pPr>
            <w:r>
              <w:rPr>
                <w:rFonts w:hint="default" w:ascii="Arial" w:hAnsi="Arial" w:cs="Arial"/>
                <w:sz w:val="20"/>
                <w:szCs w:val="20"/>
              </w:rPr>
              <w:t>Specify SIB signaling to indicate the intended service area in case the satellite footprint covers a larger area. [RAN2]</w:t>
            </w:r>
          </w:p>
          <w:p>
            <w:pPr>
              <w:pStyle w:val="109"/>
              <w:widowControl w:val="0"/>
              <w:numPr>
                <w:ilvl w:val="0"/>
                <w:numId w:val="12"/>
              </w:numPr>
              <w:spacing w:after="0"/>
              <w:ind w:hanging="357"/>
              <w:jc w:val="both"/>
              <w:rPr>
                <w:rFonts w:hint="eastAsia" w:eastAsiaTheme="minorEastAsia"/>
                <w:b w:val="0"/>
                <w:bCs/>
                <w:vertAlign w:val="baseline"/>
                <w:lang w:val="en-US" w:eastAsia="zh-CN"/>
              </w:rPr>
            </w:pPr>
            <w:r>
              <w:rPr>
                <w:rFonts w:hint="default" w:ascii="Arial" w:hAnsi="Arial" w:cs="Arial"/>
                <w:sz w:val="20"/>
                <w:szCs w:val="20"/>
              </w:rPr>
              <w:t>Specify the necessary signaling between CN and NG-RAN. [RAN3]</w:t>
            </w:r>
          </w:p>
        </w:tc>
      </w:tr>
    </w:tbl>
    <w:p>
      <w:pPr>
        <w:pStyle w:val="60"/>
        <w:spacing w:after="0"/>
        <w:ind w:left="0" w:firstLine="0"/>
        <w:rPr>
          <w:rFonts w:hint="eastAsia" w:eastAsia="宋体"/>
          <w:b/>
          <w:bCs/>
          <w:lang w:val="en-US" w:eastAsia="zh-CN"/>
        </w:rPr>
      </w:pPr>
      <w:r>
        <w:rPr>
          <w:rFonts w:hint="eastAsia" w:eastAsia="宋体"/>
          <w:b/>
          <w:bCs/>
          <w:lang w:val="en-US" w:eastAsia="zh-CN"/>
        </w:rPr>
        <w:t>Observation 1: Enhancements for broadcast service for NTN only involve RAN work based on the WID scope.</w:t>
      </w:r>
    </w:p>
    <w:p>
      <w:pPr>
        <w:pStyle w:val="60"/>
        <w:spacing w:after="0"/>
        <w:ind w:left="0" w:firstLine="0"/>
        <w:rPr>
          <w:rFonts w:hint="default" w:eastAsia="宋体"/>
          <w:b/>
          <w:bCs/>
          <w:lang w:val="en-US" w:eastAsia="zh-CN"/>
        </w:rPr>
      </w:pPr>
      <w:r>
        <w:rPr>
          <w:rFonts w:hint="eastAsia" w:eastAsia="宋体"/>
          <w:b/>
          <w:bCs/>
          <w:lang w:val="en-US" w:eastAsia="zh-CN"/>
        </w:rPr>
        <w:t>Observation 2: SA2 has little time in R19 to discuss the MCCH acquisition relaxation solution.</w:t>
      </w:r>
    </w:p>
    <w:p>
      <w:pPr>
        <w:pStyle w:val="60"/>
        <w:spacing w:after="0"/>
        <w:ind w:left="0" w:firstLine="0"/>
        <w:rPr>
          <w:rFonts w:hint="eastAsia" w:eastAsia="宋体"/>
          <w:b/>
          <w:bCs/>
          <w:lang w:val="en-US" w:eastAsia="zh-CN"/>
        </w:rPr>
      </w:pPr>
      <w:r>
        <w:rPr>
          <w:rFonts w:hint="eastAsia" w:eastAsia="宋体"/>
          <w:b/>
          <w:bCs/>
          <w:lang w:val="en-US" w:eastAsia="zh-CN"/>
        </w:rPr>
        <w:t>Proposal 3: Not pursue the solution that provide the ISA ID in the MBS Service Announcement to facilitate MCCH acquisition relaxation.</w:t>
      </w:r>
    </w:p>
    <w:p>
      <w:pPr>
        <w:pStyle w:val="60"/>
        <w:spacing w:after="0"/>
        <w:ind w:left="0" w:firstLine="0"/>
        <w:rPr>
          <w:rFonts w:hint="default" w:eastAsia="宋体"/>
          <w:b/>
          <w:bCs/>
          <w:lang w:val="en-US" w:eastAsia="zh-CN"/>
        </w:rPr>
      </w:pPr>
    </w:p>
    <w:p>
      <w:pPr>
        <w:pStyle w:val="60"/>
        <w:numPr>
          <w:ilvl w:val="0"/>
          <w:numId w:val="0"/>
        </w:numPr>
        <w:spacing w:after="0"/>
        <w:rPr>
          <w:rFonts w:hint="default" w:eastAsia="宋体"/>
          <w:lang w:val="en-US" w:eastAsia="zh-CN"/>
        </w:rPr>
      </w:pPr>
      <w:r>
        <w:rPr>
          <w:rFonts w:hint="eastAsia" w:eastAsia="宋体"/>
          <w:lang w:val="en-US" w:eastAsia="zh-CN"/>
        </w:rPr>
        <w:t>Then for the RAN solution to allow UE skipping MCCH acquisition when UE is not within intended service area of any interested broadcast service. Per the current TS 38.331, it is up to UE implementation to use the cell/tracking area list in the USD to avoid acquiring the MCCH when the UE is outside the MBS service area of the MBS broadcast service. Similarly, for skipping MCCH acquisition in NTN, it could be also up to UE implementation, when UE is not within intended service area of any interested broadcast service, it could relax MCCH acquisition based on the its own location and intended service areas provision by network.</w:t>
      </w:r>
    </w:p>
    <w:p>
      <w:pPr>
        <w:pStyle w:val="60"/>
        <w:numPr>
          <w:ilvl w:val="0"/>
          <w:numId w:val="0"/>
        </w:numPr>
        <w:spacing w:after="0"/>
        <w:rPr>
          <w:rFonts w:hint="default" w:eastAsia="宋体"/>
          <w:lang w:val="en-US" w:eastAsia="zh-CN"/>
        </w:rPr>
      </w:pPr>
      <w:r>
        <w:rPr>
          <w:rFonts w:hint="eastAsia" w:eastAsia="宋体"/>
          <w:b/>
          <w:bCs/>
          <w:lang w:val="en-US" w:eastAsia="zh-CN"/>
        </w:rPr>
        <w:t>Proposal 4: When UE is not within intended service area of any interested broadcast service, it could be also up to UE implementation to allow UE skipping MCCH acquisition based on the intended service areas provision by network and its own location.</w:t>
      </w:r>
    </w:p>
    <w:p>
      <w:pPr>
        <w:pStyle w:val="4"/>
        <w:bidi w:val="0"/>
        <w:rPr>
          <w:rFonts w:hint="eastAsia" w:eastAsia="宋体"/>
          <w:b/>
          <w:bCs/>
          <w:iCs/>
          <w:lang w:val="en-US" w:eastAsia="zh-CN"/>
        </w:rPr>
      </w:pPr>
      <w:r>
        <w:rPr>
          <w:rFonts w:hint="eastAsia"/>
          <w:b/>
          <w:bCs/>
          <w:lang w:val="en-US" w:eastAsia="zh-CN"/>
        </w:rPr>
        <w:t xml:space="preserve"> Service continuity</w:t>
      </w:r>
    </w:p>
    <w:p>
      <w:pPr>
        <w:pStyle w:val="60"/>
        <w:spacing w:after="0"/>
        <w:ind w:left="0" w:firstLine="0"/>
        <w:rPr>
          <w:rFonts w:hint="eastAsia" w:eastAsiaTheme="minorEastAsia"/>
          <w:b w:val="0"/>
          <w:bCs/>
          <w:lang w:val="en-US" w:eastAsia="zh-CN"/>
        </w:rPr>
      </w:pPr>
      <w:r>
        <w:rPr>
          <w:rFonts w:hint="eastAsia" w:eastAsiaTheme="minorEastAsia"/>
          <w:b w:val="0"/>
          <w:bCs/>
          <w:lang w:val="en-US" w:eastAsia="zh-CN"/>
        </w:rPr>
        <w:t>In RAN2 #127bis meeting, we have discussed on service continuity as following:</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111"/>
              <w:rPr>
                <w:lang w:val="en-US" w:eastAsia="ko-KR"/>
              </w:rPr>
            </w:pPr>
            <w:r>
              <w:rPr>
                <w:lang w:val="en-US" w:eastAsia="ko-KR"/>
              </w:rPr>
              <w:t>Proposal 4: Service continuity can be enhanced in two places by considering intended service area.</w:t>
            </w:r>
          </w:p>
          <w:p>
            <w:pPr>
              <w:pStyle w:val="111"/>
              <w:rPr>
                <w:lang w:val="en-US" w:eastAsia="ko-KR"/>
              </w:rPr>
            </w:pPr>
            <w:r>
              <w:rPr>
                <w:lang w:val="en-US" w:eastAsia="ko-KR"/>
              </w:rPr>
              <w:t>•</w:t>
            </w:r>
            <w:r>
              <w:rPr>
                <w:lang w:val="en-US" w:eastAsia="ko-KR"/>
              </w:rPr>
              <w:tab/>
            </w:r>
            <w:r>
              <w:rPr>
                <w:lang w:val="en-US" w:eastAsia="ko-KR"/>
              </w:rPr>
              <w:t>In MBSBroadcastConfiguration, the intended service area within each neighbor cell is provided for each MBS broadcast service session.</w:t>
            </w:r>
          </w:p>
          <w:p>
            <w:pPr>
              <w:pStyle w:val="111"/>
              <w:rPr>
                <w:lang w:val="en-US" w:eastAsia="ko-KR"/>
              </w:rPr>
            </w:pPr>
            <w:r>
              <w:rPr>
                <w:lang w:val="en-US" w:eastAsia="ko-KR"/>
              </w:rPr>
              <w:t>•</w:t>
            </w:r>
            <w:r>
              <w:rPr>
                <w:lang w:val="en-US" w:eastAsia="ko-KR"/>
              </w:rPr>
              <w:tab/>
            </w:r>
            <w:r>
              <w:rPr>
                <w:lang w:val="en-US" w:eastAsia="ko-KR"/>
              </w:rPr>
              <w:t>In SIB21, the intended service area is provided for each MBS broadcast service session, or for each FSAI (depending on common understanding selected).</w:t>
            </w:r>
          </w:p>
          <w:p>
            <w:pPr>
              <w:pStyle w:val="54"/>
              <w:rPr>
                <w:lang w:val="en-US" w:eastAsia="ko-KR"/>
              </w:rPr>
            </w:pPr>
            <w:r>
              <w:rPr>
                <w:lang w:val="en-US" w:eastAsia="ko-KR"/>
              </w:rPr>
              <w:t>-</w:t>
            </w:r>
            <w:r>
              <w:rPr>
                <w:lang w:val="en-US" w:eastAsia="ko-KR"/>
              </w:rPr>
              <w:tab/>
            </w:r>
            <w:r>
              <w:rPr>
                <w:lang w:val="en-US" w:eastAsia="ko-KR"/>
              </w:rPr>
              <w:t>Ericsson thinks we should focus on the scenario where the quasi-Earth-fixed cell is replaced due to satellite movement</w:t>
            </w:r>
          </w:p>
          <w:p>
            <w:pPr>
              <w:pStyle w:val="54"/>
              <w:rPr>
                <w:lang w:val="en-US" w:eastAsia="ko-KR"/>
              </w:rPr>
            </w:pPr>
            <w:r>
              <w:rPr>
                <w:lang w:val="en-US" w:eastAsia="ko-KR"/>
              </w:rPr>
              <w:t>-</w:t>
            </w:r>
            <w:r>
              <w:rPr>
                <w:lang w:val="en-US" w:eastAsia="ko-KR"/>
              </w:rPr>
              <w:tab/>
            </w:r>
            <w:r>
              <w:rPr>
                <w:lang w:val="en-US" w:eastAsia="ko-KR"/>
              </w:rPr>
              <w:t>ZTE thinks we currently support both and then supports p4</w:t>
            </w:r>
          </w:p>
          <w:p>
            <w:pPr>
              <w:pStyle w:val="54"/>
              <w:rPr>
                <w:lang w:val="en-US" w:eastAsia="ko-KR"/>
              </w:rPr>
            </w:pPr>
            <w:r>
              <w:rPr>
                <w:lang w:val="en-US" w:eastAsia="ko-KR"/>
              </w:rPr>
              <w:t>-</w:t>
            </w:r>
            <w:r>
              <w:rPr>
                <w:lang w:val="en-US" w:eastAsia="ko-KR"/>
              </w:rPr>
              <w:tab/>
            </w:r>
            <w:r>
              <w:rPr>
                <w:lang w:val="en-US" w:eastAsia="ko-KR"/>
              </w:rPr>
              <w:t>QC also thinks both scenarios should be supported.</w:t>
            </w:r>
          </w:p>
          <w:p>
            <w:pPr>
              <w:pStyle w:val="54"/>
              <w:rPr>
                <w:lang w:val="en-US" w:eastAsia="ko-KR"/>
              </w:rPr>
            </w:pPr>
            <w:r>
              <w:rPr>
                <w:lang w:val="en-US" w:eastAsia="ko-KR"/>
              </w:rPr>
              <w:t>-</w:t>
            </w:r>
            <w:r>
              <w:rPr>
                <w:lang w:val="en-US" w:eastAsia="ko-KR"/>
              </w:rPr>
              <w:tab/>
            </w:r>
            <w:r>
              <w:rPr>
                <w:lang w:val="en-US" w:eastAsia="ko-KR"/>
              </w:rPr>
              <w:t>HW thinks this covers the case of UE movement. For the satellite movement there would be no difference wrt previous releases. HW is ok to reflect the second part of p4</w:t>
            </w:r>
          </w:p>
          <w:p>
            <w:pPr>
              <w:pStyle w:val="54"/>
              <w:rPr>
                <w:lang w:val="en-US" w:eastAsia="ko-KR"/>
              </w:rPr>
            </w:pPr>
            <w:r>
              <w:rPr>
                <w:lang w:val="en-US" w:eastAsia="ko-KR"/>
              </w:rPr>
              <w:t>-</w:t>
            </w:r>
            <w:r>
              <w:rPr>
                <w:lang w:val="en-US" w:eastAsia="ko-KR"/>
              </w:rPr>
              <w:tab/>
            </w:r>
            <w:r>
              <w:rPr>
                <w:lang w:val="en-US" w:eastAsia="ko-KR"/>
              </w:rPr>
              <w:t>Ericsson disagrees with the proposal as there is no need for service continuity for this. Apple thinks this is needed for cell reselection.</w:t>
            </w:r>
          </w:p>
          <w:p>
            <w:pPr>
              <w:pStyle w:val="54"/>
              <w:rPr>
                <w:lang w:val="en-US" w:eastAsia="ko-KR"/>
              </w:rPr>
            </w:pPr>
            <w:r>
              <w:rPr>
                <w:lang w:val="en-US" w:eastAsia="ko-KR"/>
              </w:rPr>
              <w:t>-</w:t>
            </w:r>
            <w:r>
              <w:rPr>
                <w:lang w:val="en-US" w:eastAsia="ko-KR"/>
              </w:rPr>
              <w:tab/>
            </w:r>
            <w:r>
              <w:rPr>
                <w:lang w:val="en-US" w:eastAsia="ko-KR"/>
              </w:rPr>
              <w:t>CATT wonders whether we really need to provide the service area for service continuity, in a per neighbour cell way.</w:t>
            </w:r>
          </w:p>
          <w:p>
            <w:pPr>
              <w:pStyle w:val="54"/>
              <w:rPr>
                <w:lang w:val="en-US" w:eastAsia="ko-KR"/>
              </w:rPr>
            </w:pPr>
            <w:r>
              <w:rPr>
                <w:lang w:val="en-US" w:eastAsia="ko-KR"/>
              </w:rPr>
              <w:t>-</w:t>
            </w:r>
            <w:r>
              <w:rPr>
                <w:lang w:val="en-US" w:eastAsia="ko-KR"/>
              </w:rPr>
              <w:tab/>
            </w:r>
            <w:r>
              <w:rPr>
                <w:lang w:val="en-US" w:eastAsia="ko-KR"/>
              </w:rPr>
              <w:t>Ericsson thinks we need to clarify the UE behavior when receiving this information</w:t>
            </w:r>
          </w:p>
          <w:p>
            <w:pPr>
              <w:pStyle w:val="107"/>
              <w:rPr>
                <w:rFonts w:hint="default" w:eastAsiaTheme="minorEastAsia"/>
                <w:b w:val="0"/>
                <w:bCs/>
                <w:vertAlign w:val="baseline"/>
                <w:lang w:val="en-US" w:eastAsia="zh-CN"/>
              </w:rPr>
            </w:pPr>
            <w:r>
              <w:rPr>
                <w:lang w:val="en-US" w:eastAsia="ko-KR"/>
              </w:rPr>
              <w:t>Come back in the next meeting</w:t>
            </w:r>
          </w:p>
        </w:tc>
      </w:tr>
    </w:tbl>
    <w:p>
      <w:pPr>
        <w:pStyle w:val="60"/>
        <w:spacing w:after="0"/>
        <w:ind w:left="0" w:firstLine="0"/>
        <w:rPr>
          <w:rFonts w:hint="eastAsia"/>
          <w:lang w:val="en-US" w:eastAsia="zh-CN"/>
        </w:rPr>
      </w:pPr>
      <w:r>
        <w:rPr>
          <w:rFonts w:hint="eastAsia" w:eastAsiaTheme="minorEastAsia"/>
          <w:b w:val="0"/>
          <w:bCs/>
          <w:lang w:val="en-US" w:eastAsia="zh-CN"/>
        </w:rPr>
        <w:t xml:space="preserve">From our perspective, providing service area information for each MBS broadcast session of neighbour cells has some benefit for reselection and handover, it could help UE to select a more suitable cell to continue receiving the same broadcast services. As known, MCCH may also </w:t>
      </w:r>
      <w:r>
        <w:rPr>
          <w:lang w:eastAsia="zh-CN"/>
        </w:rPr>
        <w:t>contain a list of neighbour cells providing the same broadcast MBS service(s) as provided in the current cell</w:t>
      </w:r>
      <w:r>
        <w:rPr>
          <w:rFonts w:hint="eastAsia"/>
          <w:lang w:val="en-US" w:eastAsia="zh-CN"/>
        </w:rPr>
        <w:t xml:space="preserve">. In order to guarantee service continuity better, providing service area information per neighbour cell in the </w:t>
      </w:r>
      <w:r>
        <w:rPr>
          <w:rFonts w:hint="eastAsia"/>
          <w:i/>
          <w:iCs/>
          <w:lang w:val="en-US" w:eastAsia="zh-CN"/>
        </w:rPr>
        <w:t xml:space="preserve">MBSBroadcastConfiguration </w:t>
      </w:r>
      <w:r>
        <w:rPr>
          <w:rFonts w:hint="eastAsia"/>
          <w:i w:val="0"/>
          <w:iCs w:val="0"/>
          <w:lang w:val="en-US" w:eastAsia="zh-CN"/>
        </w:rPr>
        <w:t xml:space="preserve">could help </w:t>
      </w:r>
      <w:r>
        <w:rPr>
          <w:rFonts w:hint="eastAsia"/>
          <w:lang w:val="en-US" w:eastAsia="zh-CN"/>
        </w:rPr>
        <w:t xml:space="preserve">UE to reselect or handover to a neighbour cell </w:t>
      </w:r>
      <w:r>
        <w:rPr>
          <w:rFonts w:hint="eastAsia"/>
          <w:i w:val="0"/>
          <w:iCs w:val="0"/>
          <w:lang w:val="en-US" w:eastAsia="zh-CN"/>
        </w:rPr>
        <w:t>including service areas association with the MBS session UE interested in or providing same broadcast service which UE is receiving currently</w:t>
      </w:r>
      <w:r>
        <w:rPr>
          <w:rFonts w:hint="eastAsia"/>
          <w:lang w:val="en-US" w:eastAsia="zh-CN"/>
        </w:rPr>
        <w:t xml:space="preserve">. </w:t>
      </w:r>
    </w:p>
    <w:p>
      <w:pPr>
        <w:pStyle w:val="60"/>
        <w:spacing w:after="0"/>
        <w:ind w:left="0" w:firstLine="0"/>
        <w:rPr>
          <w:rFonts w:hint="default" w:eastAsia="宋体"/>
          <w:lang w:val="en-US" w:eastAsia="zh-CN"/>
        </w:rPr>
      </w:pPr>
      <w:r>
        <w:rPr>
          <w:rFonts w:hint="eastAsia"/>
          <w:lang w:val="en-US" w:eastAsia="zh-CN"/>
        </w:rPr>
        <w:t xml:space="preserve">Then </w:t>
      </w:r>
      <w:r>
        <w:rPr>
          <w:rFonts w:hint="eastAsia"/>
          <w:i/>
          <w:iCs/>
          <w:lang w:val="en-US" w:eastAsia="zh-CN"/>
        </w:rPr>
        <w:t xml:space="preserve">SIB21 </w:t>
      </w:r>
      <w:r>
        <w:t>provide</w:t>
      </w:r>
      <w:r>
        <w:rPr>
          <w:rFonts w:hint="eastAsia" w:eastAsia="宋体"/>
          <w:lang w:val="en-US" w:eastAsia="zh-CN"/>
        </w:rPr>
        <w:t>s</w:t>
      </w:r>
      <w:r>
        <w:t xml:space="preserve"> information related to service continuity</w:t>
      </w:r>
      <w:r>
        <w:rPr>
          <w:rFonts w:hint="eastAsia" w:eastAsia="宋体"/>
          <w:lang w:val="en-US" w:eastAsia="zh-CN"/>
        </w:rPr>
        <w:t xml:space="preserve">, which </w:t>
      </w:r>
      <w:r>
        <w:rPr>
          <w:rFonts w:hint="eastAsia"/>
          <w:lang w:val="en-US" w:eastAsia="zh-CN"/>
        </w:rPr>
        <w:t xml:space="preserve">contains the mapping between the current and/or neighbouring carrier frequencies and MBS Frequency Selection Area Identities (FSAI). However, considering the different understanding about the relation between FSA and MBS session (i.e. one to one, one to multiple), to enhance service continuity, we could just consider to introduce </w:t>
      </w:r>
      <w:r>
        <w:rPr>
          <w:lang w:val="en-US" w:eastAsia="ko-KR"/>
        </w:rPr>
        <w:t>intended service area for each MBS broadcast service session</w:t>
      </w:r>
      <w:r>
        <w:rPr>
          <w:rFonts w:hint="eastAsia" w:eastAsia="宋体"/>
          <w:lang w:val="en-US" w:eastAsia="zh-CN"/>
        </w:rPr>
        <w:t xml:space="preserve"> in </w:t>
      </w:r>
      <w:r>
        <w:rPr>
          <w:rFonts w:hint="eastAsia" w:eastAsia="宋体"/>
          <w:i/>
          <w:iCs/>
          <w:lang w:val="en-US" w:eastAsia="zh-CN"/>
        </w:rPr>
        <w:t>SIB21</w:t>
      </w:r>
      <w:r>
        <w:rPr>
          <w:rFonts w:hint="eastAsia" w:eastAsia="宋体"/>
          <w:lang w:val="en-US" w:eastAsia="zh-CN"/>
        </w:rPr>
        <w:t>.</w:t>
      </w:r>
    </w:p>
    <w:p>
      <w:pPr>
        <w:pStyle w:val="60"/>
        <w:spacing w:after="0"/>
        <w:ind w:left="0" w:firstLine="0"/>
        <w:rPr>
          <w:rFonts w:hint="eastAsia" w:eastAsiaTheme="minorEastAsia"/>
          <w:b/>
          <w:bCs w:val="0"/>
          <w:lang w:val="en-US" w:eastAsia="zh-CN"/>
        </w:rPr>
      </w:pPr>
      <w:r>
        <w:rPr>
          <w:rFonts w:hint="eastAsia" w:eastAsiaTheme="minorEastAsia"/>
          <w:b/>
          <w:bCs w:val="0"/>
          <w:lang w:val="en-US" w:eastAsia="zh-CN"/>
        </w:rPr>
        <w:t xml:space="preserve">Proposal 5: It is proposed to provide intended service area within each neighbor cell for each MBS broadcast service session in </w:t>
      </w:r>
      <w:r>
        <w:rPr>
          <w:rFonts w:hint="eastAsia" w:eastAsiaTheme="minorEastAsia"/>
          <w:b/>
          <w:bCs w:val="0"/>
          <w:i/>
          <w:iCs/>
          <w:lang w:val="en-US" w:eastAsia="zh-CN"/>
        </w:rPr>
        <w:t>MBSBroadcastConfiguration</w:t>
      </w:r>
      <w:r>
        <w:rPr>
          <w:rFonts w:hint="eastAsia" w:eastAsiaTheme="minorEastAsia"/>
          <w:b/>
          <w:bCs w:val="0"/>
          <w:lang w:val="en-US" w:eastAsia="zh-CN"/>
        </w:rPr>
        <w:t>.</w:t>
      </w:r>
    </w:p>
    <w:p>
      <w:pPr>
        <w:pStyle w:val="60"/>
        <w:spacing w:after="0"/>
        <w:ind w:left="0" w:firstLine="0"/>
        <w:rPr>
          <w:rFonts w:hint="default" w:eastAsiaTheme="minorEastAsia"/>
          <w:b/>
          <w:bCs w:val="0"/>
          <w:lang w:val="en-US" w:eastAsia="zh-CN"/>
        </w:rPr>
      </w:pPr>
      <w:r>
        <w:rPr>
          <w:rFonts w:hint="eastAsia" w:eastAsiaTheme="minorEastAsia"/>
          <w:b/>
          <w:bCs w:val="0"/>
          <w:lang w:val="en-US" w:eastAsia="zh-CN"/>
        </w:rPr>
        <w:t xml:space="preserve">Proposal 6: It is proposed to provide intended service area for each MBS broadcast service session in </w:t>
      </w:r>
      <w:r>
        <w:rPr>
          <w:rFonts w:hint="eastAsia" w:eastAsiaTheme="minorEastAsia"/>
          <w:b/>
          <w:bCs w:val="0"/>
          <w:i/>
          <w:iCs/>
          <w:lang w:val="en-US" w:eastAsia="zh-CN"/>
        </w:rPr>
        <w:t>SIB21</w:t>
      </w:r>
      <w:r>
        <w:rPr>
          <w:rFonts w:hint="eastAsia" w:eastAsiaTheme="minorEastAsia"/>
          <w:b/>
          <w:bCs w:val="0"/>
          <w:lang w:val="en-US" w:eastAsia="zh-CN"/>
        </w:rPr>
        <w:t>.</w:t>
      </w:r>
    </w:p>
    <w:p>
      <w:pPr>
        <w:pStyle w:val="4"/>
        <w:bidi w:val="0"/>
        <w:rPr>
          <w:rFonts w:hint="eastAsia" w:eastAsia="宋体"/>
          <w:b/>
          <w:bCs/>
          <w:iCs/>
          <w:sz w:val="28"/>
          <w:szCs w:val="28"/>
          <w:lang w:val="en-US" w:eastAsia="zh-CN"/>
        </w:rPr>
      </w:pPr>
      <w:r>
        <w:rPr>
          <w:rFonts w:hint="eastAsia"/>
          <w:b/>
          <w:bCs/>
          <w:sz w:val="28"/>
          <w:szCs w:val="28"/>
          <w:lang w:val="en-US" w:eastAsia="zh-CN"/>
        </w:rPr>
        <w:t xml:space="preserve"> MBS interest indication</w:t>
      </w:r>
    </w:p>
    <w:p>
      <w:pPr>
        <w:pStyle w:val="60"/>
        <w:spacing w:after="0"/>
        <w:ind w:left="0" w:firstLine="0"/>
        <w:rPr>
          <w:rFonts w:hint="eastAsia" w:eastAsiaTheme="minorEastAsia"/>
          <w:b w:val="0"/>
          <w:bCs/>
          <w:lang w:val="en-US" w:eastAsia="zh-CN"/>
        </w:rPr>
      </w:pPr>
      <w:r>
        <w:rPr>
          <w:rFonts w:hint="eastAsia" w:eastAsiaTheme="minorEastAsia"/>
          <w:b w:val="0"/>
          <w:bCs/>
          <w:lang w:val="en-US" w:eastAsia="zh-CN"/>
        </w:rPr>
        <w:t xml:space="preserve">We discussed that whether a R19 UE supporting the feature may initiate the MBS Interest Indication procedure when UE is entering or leaving the intended area without convergence. </w:t>
      </w:r>
    </w:p>
    <w:p>
      <w:pPr>
        <w:pStyle w:val="60"/>
        <w:spacing w:after="0"/>
        <w:ind w:left="0" w:firstLine="0"/>
        <w:rPr>
          <w:rFonts w:hint="default" w:eastAsiaTheme="minorEastAsia"/>
          <w:b w:val="0"/>
          <w:bCs/>
          <w:lang w:val="en-US" w:eastAsia="zh-CN"/>
        </w:rPr>
      </w:pPr>
      <w:r>
        <w:rPr>
          <w:rFonts w:hint="eastAsia" w:eastAsiaTheme="minorEastAsia"/>
          <w:b w:val="0"/>
          <w:bCs/>
          <w:lang w:val="en-US" w:eastAsia="zh-CN"/>
        </w:rPr>
        <w:t xml:space="preserve">As current specification, the MBS interest indication procedure is </w:t>
      </w:r>
      <w:r>
        <w:rPr>
          <w:lang w:eastAsia="zh-CN"/>
        </w:rPr>
        <w:t xml:space="preserve">to inform the network that the UE in RRC_CONNECTED is receiving or is interested to receive MBS broadcast service(s) and/or to inform the network about the priority of MBS broadcast versus unicast </w:t>
      </w:r>
      <w:r>
        <w:rPr>
          <w:rFonts w:eastAsia="宋体"/>
          <w:lang w:eastAsia="zh-CN"/>
        </w:rPr>
        <w:t>and multicast MRB</w:t>
      </w:r>
      <w:r>
        <w:rPr>
          <w:lang w:eastAsia="zh-CN"/>
        </w:rPr>
        <w:t xml:space="preserve"> reception. MBS Interest Indication can only be sent after AS security activation</w:t>
      </w:r>
      <w:r>
        <w:rPr>
          <w:rFonts w:hint="eastAsia"/>
          <w:lang w:val="en-US" w:eastAsia="zh-CN"/>
        </w:rPr>
        <w:t>. And the trigger condition is described in section 5.9.4.2 of TS 38.331.</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5"/>
              <w:numPr>
                <w:ilvl w:val="1"/>
                <w:numId w:val="0"/>
              </w:numPr>
            </w:pPr>
            <w:bookmarkStart w:id="3" w:name="_Toc46483314"/>
            <w:bookmarkStart w:id="4" w:name="_Toc46482080"/>
            <w:bookmarkStart w:id="5" w:name="_Toc36846581"/>
            <w:bookmarkStart w:id="6" w:name="_Toc36810217"/>
            <w:bookmarkStart w:id="7" w:name="_Toc36566786"/>
            <w:bookmarkStart w:id="8" w:name="_Toc37082214"/>
            <w:bookmarkStart w:id="9" w:name="_Toc36939234"/>
            <w:bookmarkStart w:id="10" w:name="_Toc20487095"/>
            <w:bookmarkStart w:id="11" w:name="_Toc171467632"/>
            <w:bookmarkStart w:id="12" w:name="_Toc46480846"/>
            <w:bookmarkStart w:id="13" w:name="_Toc29342387"/>
            <w:bookmarkStart w:id="14" w:name="_Toc67997120"/>
            <w:bookmarkStart w:id="15" w:name="_Toc29343526"/>
            <w:r>
              <w:t>5.9.4.2</w:t>
            </w:r>
            <w:r>
              <w:tab/>
            </w:r>
            <w:r>
              <w:t>Initiation</w:t>
            </w:r>
            <w:bookmarkEnd w:id="3"/>
            <w:bookmarkEnd w:id="4"/>
            <w:bookmarkEnd w:id="5"/>
            <w:bookmarkEnd w:id="6"/>
            <w:bookmarkEnd w:id="7"/>
            <w:bookmarkEnd w:id="8"/>
            <w:bookmarkEnd w:id="9"/>
            <w:bookmarkEnd w:id="10"/>
            <w:bookmarkEnd w:id="11"/>
            <w:bookmarkEnd w:id="12"/>
            <w:bookmarkEnd w:id="13"/>
            <w:bookmarkEnd w:id="14"/>
            <w:bookmarkEnd w:id="15"/>
          </w:p>
          <w:p>
            <w:pPr>
              <w:rPr>
                <w:rFonts w:hint="eastAsia" w:eastAsiaTheme="minorEastAsia"/>
                <w:b/>
                <w:bCs w:val="0"/>
                <w:vertAlign w:val="baseline"/>
                <w:lang w:val="en-US" w:eastAsia="zh-CN"/>
              </w:rPr>
            </w:pPr>
            <w:r>
              <w:rPr>
                <w:highlight w:val="yellow"/>
              </w:rPr>
              <w:t>An MBS capable UE in RRC_CONNECTED may initiate the procedure</w:t>
            </w:r>
            <w:r>
              <w:t xml:space="preserve"> in several cases including upon successful connection establishment/resume, upon entering or leaving the broadcast service area, upon MBS broadcast session start or stop, upon change of interest, upon change of priority between MBS broadcast reception and unicast/multicast reception, upon change to a PCell providing </w:t>
            </w:r>
            <w:r>
              <w:rPr>
                <w:i/>
              </w:rPr>
              <w:t>SIB21</w:t>
            </w:r>
            <w:r>
              <w:t xml:space="preserve"> (i.e. where the </w:t>
            </w:r>
            <w:r>
              <w:rPr>
                <w:i/>
              </w:rPr>
              <w:t>SIB1</w:t>
            </w:r>
            <w:r>
              <w:t xml:space="preserve"> scheduling information contains </w:t>
            </w:r>
            <w:r>
              <w:rPr>
                <w:i/>
              </w:rPr>
              <w:t>SIB21</w:t>
            </w:r>
            <w:r>
              <w:t>)</w:t>
            </w:r>
            <w:r>
              <w:rPr>
                <w:lang w:eastAsia="zh-CN"/>
              </w:rPr>
              <w:t xml:space="preserve">, upon receiving </w:t>
            </w:r>
            <w:r>
              <w:rPr>
                <w:i/>
                <w:lang w:eastAsia="zh-CN"/>
              </w:rPr>
              <w:t>SIB20</w:t>
            </w:r>
            <w:r>
              <w:rPr>
                <w:lang w:eastAsia="zh-CN"/>
              </w:rPr>
              <w:t xml:space="preserve"> of an SCell via dedicated signalling, </w:t>
            </w:r>
            <w:r>
              <w:rPr>
                <w:highlight w:val="yellow"/>
                <w:lang w:eastAsia="zh-CN"/>
              </w:rPr>
              <w:t>upon handover</w:t>
            </w:r>
            <w:r>
              <w:rPr>
                <w:lang w:eastAsia="zh-CN"/>
              </w:rPr>
              <w:t xml:space="preserve">, and upon RRC connection re-establishment, </w:t>
            </w:r>
            <w:r>
              <w:rPr>
                <w:bCs/>
              </w:rPr>
              <w:t xml:space="preserve">upon change to a PCell providing </w:t>
            </w:r>
            <w:r>
              <w:rPr>
                <w:bCs/>
                <w:i/>
              </w:rPr>
              <w:t>nonServingCellMII</w:t>
            </w:r>
            <w:r>
              <w:rPr>
                <w:bCs/>
              </w:rPr>
              <w:t xml:space="preserve"> in </w:t>
            </w:r>
            <w:r>
              <w:rPr>
                <w:bCs/>
                <w:i/>
              </w:rPr>
              <w:t>SIB1</w:t>
            </w:r>
            <w:r>
              <w:rPr>
                <w:lang w:eastAsia="zh-CN"/>
              </w:rPr>
              <w:t xml:space="preserve">, upon starting or stopping reception of MBS broadcast service on a non-serving cell, </w:t>
            </w:r>
            <w:r>
              <w:t>upon change of CFR information or subcarrier spacing for MBS broadcast reception on a non-serving cell. If the UE does not have the CFR information and subcarrier spacing for MBS broadcast reception on a non-serving cell at the time it sends the MBS Interest Indication, the UE sends another MBS Interest Indication after it has acquired this information from the non-serving cell.</w:t>
            </w:r>
          </w:p>
        </w:tc>
      </w:tr>
    </w:tbl>
    <w:p>
      <w:pPr>
        <w:pStyle w:val="60"/>
        <w:spacing w:after="0"/>
        <w:ind w:left="0" w:firstLine="0"/>
        <w:rPr>
          <w:rFonts w:hint="default" w:eastAsia="宋体"/>
          <w:b/>
          <w:bCs w:val="0"/>
          <w:lang w:val="en-US" w:eastAsia="zh-CN"/>
        </w:rPr>
      </w:pPr>
      <w:r>
        <w:rPr>
          <w:rFonts w:hint="eastAsia" w:eastAsiaTheme="minorEastAsia"/>
          <w:b w:val="0"/>
          <w:bCs/>
          <w:lang w:val="en-US" w:eastAsia="zh-CN"/>
        </w:rPr>
        <w:t xml:space="preserve">In the contribution [2], it is mentioned that initiate the MBS Interest Indication procedure when UE is entering or leaving the intended area could help NW to choose a </w:t>
      </w:r>
      <w:r>
        <w:t>suitable cell providing the broadcast service for this UE</w:t>
      </w:r>
      <w:r>
        <w:rPr>
          <w:rFonts w:hint="eastAsia" w:eastAsia="宋体"/>
          <w:lang w:val="en-US" w:eastAsia="zh-CN"/>
        </w:rPr>
        <w:t xml:space="preserve">. However, per the exiting mechanism, UE already supports to </w:t>
      </w:r>
      <w:r>
        <w:rPr>
          <w:rFonts w:hint="eastAsia" w:eastAsiaTheme="minorEastAsia"/>
          <w:b w:val="0"/>
          <w:bCs/>
          <w:lang w:val="en-US" w:eastAsia="zh-CN"/>
        </w:rPr>
        <w:t>initiate the MII procedure upon handover. And in NTN, UE is able to determine whether in the intended service area based its own GNSS and service area information provided by network. Further, network may have no acknowledge of the UE location, i.e., UE is in which service area may not be clear at network side. Then whether initiate the MII procedure could be just up to UE itself. Therefore, further enhancement for MBS Interest Indication initiation is not needed.</w:t>
      </w:r>
    </w:p>
    <w:p>
      <w:pPr>
        <w:pStyle w:val="60"/>
        <w:spacing w:after="0"/>
        <w:ind w:left="0" w:firstLine="0"/>
        <w:rPr>
          <w:rFonts w:hint="eastAsia" w:eastAsiaTheme="minorEastAsia"/>
          <w:b w:val="0"/>
          <w:bCs/>
          <w:lang w:val="en-US" w:eastAsia="zh-CN"/>
        </w:rPr>
      </w:pPr>
      <w:r>
        <w:rPr>
          <w:rFonts w:hint="eastAsia" w:eastAsiaTheme="minorEastAsia"/>
          <w:b/>
          <w:bCs w:val="0"/>
          <w:lang w:val="en-US" w:eastAsia="zh-CN"/>
        </w:rPr>
        <w:t>Proposal 7: It is proposed not to pursue that a R19 UE supporting the feature may initiate the MBS Interest Indication procedure when UE is entering or leaving the intended area.</w:t>
      </w:r>
    </w:p>
    <w:bookmarkEnd w:id="2"/>
    <w:p>
      <w:pPr>
        <w:pStyle w:val="2"/>
        <w:rPr>
          <w:rFonts w:cs="Arial"/>
          <w:sz w:val="32"/>
          <w:szCs w:val="32"/>
        </w:rPr>
      </w:pPr>
      <w:r>
        <w:rPr>
          <w:rFonts w:cs="Arial"/>
          <w:sz w:val="32"/>
          <w:szCs w:val="32"/>
        </w:rPr>
        <w:t>Conclusion</w:t>
      </w:r>
    </w:p>
    <w:p>
      <w:pPr>
        <w:pStyle w:val="60"/>
        <w:spacing w:after="0"/>
        <w:ind w:left="0" w:firstLine="0"/>
        <w:rPr>
          <w:rFonts w:eastAsia="宋体" w:cs="Arial"/>
          <w:sz w:val="20"/>
          <w:szCs w:val="20"/>
        </w:rPr>
      </w:pPr>
      <w:r>
        <w:rPr>
          <w:rFonts w:eastAsia="宋体" w:cs="Arial"/>
          <w:sz w:val="20"/>
          <w:szCs w:val="20"/>
        </w:rPr>
        <w:t xml:space="preserve">Based on the discussions mentioned above, in this contribution we provide some discussions </w:t>
      </w:r>
      <w:r>
        <w:rPr>
          <w:rFonts w:hint="eastAsia" w:eastAsiaTheme="minorEastAsia"/>
          <w:sz w:val="20"/>
          <w:szCs w:val="20"/>
          <w:lang w:eastAsia="zh-CN"/>
        </w:rPr>
        <w:t xml:space="preserve">on </w:t>
      </w:r>
      <w:r>
        <w:rPr>
          <w:rFonts w:hint="eastAsia" w:eastAsiaTheme="minorEastAsia"/>
          <w:sz w:val="20"/>
          <w:szCs w:val="20"/>
          <w:lang w:val="en-US" w:eastAsia="zh-CN"/>
        </w:rPr>
        <w:t>MBS broadcast</w:t>
      </w:r>
      <w:r>
        <w:rPr>
          <w:rFonts w:hint="eastAsia" w:eastAsiaTheme="minorEastAsia"/>
          <w:sz w:val="20"/>
          <w:szCs w:val="20"/>
          <w:lang w:eastAsia="zh-CN"/>
        </w:rPr>
        <w:t xml:space="preserve"> enhancements for </w:t>
      </w:r>
      <w:r>
        <w:rPr>
          <w:rFonts w:hint="eastAsia" w:eastAsiaTheme="minorEastAsia"/>
          <w:sz w:val="20"/>
          <w:szCs w:val="20"/>
          <w:lang w:val="en-US" w:eastAsia="zh-CN"/>
        </w:rPr>
        <w:t>NTN</w:t>
      </w:r>
      <w:r>
        <w:rPr>
          <w:rFonts w:eastAsiaTheme="minorEastAsia"/>
          <w:sz w:val="20"/>
          <w:szCs w:val="20"/>
          <w:lang w:eastAsia="zh-CN"/>
        </w:rPr>
        <w:t xml:space="preserve"> </w:t>
      </w:r>
      <w:r>
        <w:rPr>
          <w:rFonts w:eastAsia="宋体" w:cs="Arial"/>
          <w:sz w:val="20"/>
          <w:szCs w:val="20"/>
        </w:rPr>
        <w:t>and have the following</w:t>
      </w:r>
      <w:r>
        <w:rPr>
          <w:rFonts w:hint="eastAsia" w:eastAsia="宋体" w:cs="Arial"/>
          <w:sz w:val="20"/>
          <w:szCs w:val="20"/>
          <w:lang w:val="en-US" w:eastAsia="zh-CN"/>
        </w:rPr>
        <w:t xml:space="preserve"> observations and </w:t>
      </w:r>
      <w:r>
        <w:rPr>
          <w:rFonts w:eastAsia="宋体" w:cs="Arial"/>
          <w:sz w:val="20"/>
          <w:szCs w:val="20"/>
        </w:rPr>
        <w:t>proposals:</w:t>
      </w:r>
    </w:p>
    <w:p>
      <w:pPr>
        <w:pStyle w:val="60"/>
        <w:spacing w:after="0"/>
        <w:ind w:left="0" w:leftChars="0" w:firstLine="0" w:firstLineChars="0"/>
        <w:rPr>
          <w:rFonts w:hint="default" w:ascii="Arial" w:hAnsi="Arial" w:cs="Arial" w:eastAsiaTheme="minorEastAsia"/>
          <w:b/>
          <w:bCs w:val="0"/>
          <w:lang w:val="en-US" w:eastAsia="zh-CN"/>
        </w:rPr>
      </w:pPr>
      <w:r>
        <w:rPr>
          <w:rFonts w:hint="default" w:ascii="Arial" w:hAnsi="Arial" w:cs="Arial" w:eastAsiaTheme="minorEastAsia"/>
          <w:b/>
          <w:bCs w:val="0"/>
          <w:lang w:val="en-US" w:eastAsia="zh-CN"/>
        </w:rPr>
        <w:t xml:space="preserve">Proposal </w:t>
      </w:r>
      <w:r>
        <w:rPr>
          <w:rFonts w:hint="eastAsia" w:cs="Arial" w:eastAsiaTheme="minorEastAsia"/>
          <w:b/>
          <w:bCs w:val="0"/>
          <w:lang w:val="en-US" w:eastAsia="zh-CN"/>
        </w:rPr>
        <w:t>1</w:t>
      </w:r>
      <w:r>
        <w:rPr>
          <w:rFonts w:hint="default" w:ascii="Arial" w:hAnsi="Arial" w:cs="Arial" w:eastAsiaTheme="minorEastAsia"/>
          <w:b/>
          <w:bCs w:val="0"/>
          <w:lang w:val="en-US" w:eastAsia="zh-CN"/>
        </w:rPr>
        <w:t xml:space="preserve">: </w:t>
      </w:r>
      <w:r>
        <w:rPr>
          <w:rFonts w:hint="eastAsia" w:cs="Arial" w:eastAsiaTheme="minorEastAsia"/>
          <w:b/>
          <w:bCs w:val="0"/>
          <w:lang w:val="en-US" w:eastAsia="zh-CN"/>
        </w:rPr>
        <w:t xml:space="preserve">For the service area pointer, we could </w:t>
      </w:r>
      <w:r>
        <w:rPr>
          <w:rFonts w:hint="default" w:ascii="Arial" w:hAnsi="Arial" w:cs="Arial" w:eastAsiaTheme="minorEastAsia"/>
          <w:b/>
          <w:bCs w:val="0"/>
          <w:lang w:val="en-US" w:eastAsia="zh-CN"/>
        </w:rPr>
        <w:t>just use the index in the service area list in anywhere requiring service area information.</w:t>
      </w:r>
    </w:p>
    <w:p>
      <w:pPr>
        <w:pStyle w:val="60"/>
        <w:spacing w:after="0"/>
        <w:ind w:left="0" w:leftChars="0" w:firstLine="0" w:firstLineChars="0"/>
        <w:rPr>
          <w:rFonts w:hint="eastAsia" w:eastAsia="宋体"/>
          <w:lang w:val="en-US" w:eastAsia="zh-CN"/>
        </w:rPr>
      </w:pPr>
      <w:r>
        <w:rPr>
          <w:rFonts w:hint="eastAsia" w:cs="Arial" w:eastAsiaTheme="minorEastAsia"/>
          <w:b/>
          <w:bCs w:val="0"/>
          <w:lang w:val="en-US" w:eastAsia="zh-CN"/>
        </w:rPr>
        <w:t xml:space="preserve">Proposal 2: </w:t>
      </w:r>
      <w:r>
        <w:rPr>
          <w:rFonts w:hint="default" w:ascii="Arial" w:hAnsi="Arial" w:cs="Arial" w:eastAsiaTheme="minorEastAsia"/>
          <w:b/>
          <w:bCs w:val="0"/>
          <w:lang w:val="en-US" w:eastAsia="zh-CN"/>
        </w:rPr>
        <w:t>It is proposed to use “CHOICE” signaling structure to support both the service area format solutions.</w:t>
      </w:r>
    </w:p>
    <w:p>
      <w:pPr>
        <w:pStyle w:val="60"/>
        <w:spacing w:after="0"/>
        <w:ind w:left="0" w:firstLine="0"/>
        <w:rPr>
          <w:rFonts w:hint="eastAsia" w:eastAsia="宋体"/>
          <w:b/>
          <w:bCs/>
          <w:lang w:val="en-US" w:eastAsia="zh-CN"/>
        </w:rPr>
      </w:pPr>
      <w:r>
        <w:rPr>
          <w:rFonts w:hint="eastAsia" w:eastAsia="宋体"/>
          <w:b/>
          <w:bCs/>
          <w:lang w:val="en-US" w:eastAsia="zh-CN"/>
        </w:rPr>
        <w:t>Observation 1: Enhancements for broadcast service for NTN only involve RAN work based on the WID scope.</w:t>
      </w:r>
    </w:p>
    <w:p>
      <w:pPr>
        <w:pStyle w:val="60"/>
        <w:spacing w:after="0"/>
        <w:ind w:left="0" w:firstLine="0"/>
        <w:rPr>
          <w:rFonts w:hint="default" w:eastAsia="宋体"/>
          <w:b/>
          <w:bCs/>
          <w:lang w:val="en-US" w:eastAsia="zh-CN"/>
        </w:rPr>
      </w:pPr>
      <w:r>
        <w:rPr>
          <w:rFonts w:hint="eastAsia" w:eastAsia="宋体"/>
          <w:b/>
          <w:bCs/>
          <w:lang w:val="en-US" w:eastAsia="zh-CN"/>
        </w:rPr>
        <w:t>Observation 2: SA2 has little time in R19 to discuss the MCCH acquisition relaxation solution.</w:t>
      </w:r>
    </w:p>
    <w:p>
      <w:pPr>
        <w:pStyle w:val="60"/>
        <w:spacing w:after="0"/>
        <w:ind w:left="0" w:firstLine="0"/>
        <w:rPr>
          <w:rFonts w:hint="eastAsia" w:eastAsia="宋体"/>
          <w:b/>
          <w:bCs/>
          <w:lang w:val="en-US" w:eastAsia="zh-CN"/>
        </w:rPr>
      </w:pPr>
      <w:r>
        <w:rPr>
          <w:rFonts w:hint="eastAsia" w:eastAsia="宋体"/>
          <w:b/>
          <w:bCs/>
          <w:lang w:val="en-US" w:eastAsia="zh-CN"/>
        </w:rPr>
        <w:t>Proposal 3: Not pursue the solution that provide the ISA ID in the MBS Service Announcement to facilitate MCCH acquisition relaxation.</w:t>
      </w:r>
    </w:p>
    <w:p>
      <w:pPr>
        <w:pStyle w:val="60"/>
        <w:numPr>
          <w:ilvl w:val="0"/>
          <w:numId w:val="0"/>
        </w:numPr>
        <w:spacing w:after="0"/>
        <w:rPr>
          <w:rFonts w:hint="default" w:eastAsia="宋体"/>
          <w:lang w:val="en-US" w:eastAsia="zh-CN"/>
        </w:rPr>
      </w:pPr>
      <w:r>
        <w:rPr>
          <w:rFonts w:hint="eastAsia" w:eastAsia="宋体"/>
          <w:b/>
          <w:bCs/>
          <w:lang w:val="en-US" w:eastAsia="zh-CN"/>
        </w:rPr>
        <w:t>Proposal 4: When UE is not within intended service area of any interested broadcast service, it could be also up to UE implementation to allow UE skipping MCCH acquisition based on the intended service areas provision by network and its own location.</w:t>
      </w:r>
    </w:p>
    <w:p>
      <w:pPr>
        <w:pStyle w:val="60"/>
        <w:spacing w:after="0"/>
        <w:ind w:left="0" w:firstLine="0"/>
        <w:rPr>
          <w:rFonts w:hint="eastAsia" w:eastAsiaTheme="minorEastAsia"/>
          <w:b/>
          <w:bCs w:val="0"/>
          <w:lang w:val="en-US" w:eastAsia="zh-CN"/>
        </w:rPr>
      </w:pPr>
      <w:r>
        <w:rPr>
          <w:rFonts w:hint="eastAsia" w:eastAsiaTheme="minorEastAsia"/>
          <w:b/>
          <w:bCs w:val="0"/>
          <w:lang w:val="en-US" w:eastAsia="zh-CN"/>
        </w:rPr>
        <w:t xml:space="preserve">Proposal 5: It is proposed to provide intended service area within each neighbor cell for each MBS broadcast service session in </w:t>
      </w:r>
      <w:r>
        <w:rPr>
          <w:rFonts w:hint="eastAsia" w:eastAsiaTheme="minorEastAsia"/>
          <w:b/>
          <w:bCs w:val="0"/>
          <w:i/>
          <w:iCs/>
          <w:lang w:val="en-US" w:eastAsia="zh-CN"/>
        </w:rPr>
        <w:t>MBSBroadcastConfiguration</w:t>
      </w:r>
      <w:r>
        <w:rPr>
          <w:rFonts w:hint="eastAsia" w:eastAsiaTheme="minorEastAsia"/>
          <w:b/>
          <w:bCs w:val="0"/>
          <w:lang w:val="en-US" w:eastAsia="zh-CN"/>
        </w:rPr>
        <w:t>.</w:t>
      </w:r>
    </w:p>
    <w:p>
      <w:pPr>
        <w:pStyle w:val="60"/>
        <w:spacing w:after="0"/>
        <w:ind w:left="0" w:firstLine="0"/>
        <w:rPr>
          <w:rFonts w:hint="default" w:eastAsiaTheme="minorEastAsia"/>
          <w:b/>
          <w:bCs w:val="0"/>
          <w:lang w:val="en-US" w:eastAsia="zh-CN"/>
        </w:rPr>
      </w:pPr>
      <w:r>
        <w:rPr>
          <w:rFonts w:hint="eastAsia" w:eastAsiaTheme="minorEastAsia"/>
          <w:b/>
          <w:bCs w:val="0"/>
          <w:lang w:val="en-US" w:eastAsia="zh-CN"/>
        </w:rPr>
        <w:t xml:space="preserve">Proposal 6: It is proposed to provide intended service area for each MBS broadcast service session in </w:t>
      </w:r>
      <w:r>
        <w:rPr>
          <w:rFonts w:hint="eastAsia" w:eastAsiaTheme="minorEastAsia"/>
          <w:b/>
          <w:bCs w:val="0"/>
          <w:i/>
          <w:iCs/>
          <w:lang w:val="en-US" w:eastAsia="zh-CN"/>
        </w:rPr>
        <w:t>SIB21</w:t>
      </w:r>
      <w:r>
        <w:rPr>
          <w:rFonts w:hint="eastAsia" w:eastAsiaTheme="minorEastAsia"/>
          <w:b/>
          <w:bCs w:val="0"/>
          <w:lang w:val="en-US" w:eastAsia="zh-CN"/>
        </w:rPr>
        <w:t>.</w:t>
      </w:r>
    </w:p>
    <w:p>
      <w:pPr>
        <w:pStyle w:val="60"/>
        <w:spacing w:after="0"/>
        <w:ind w:left="0" w:firstLine="0"/>
        <w:rPr>
          <w:rFonts w:eastAsia="宋体" w:cs="Arial"/>
          <w:sz w:val="20"/>
          <w:szCs w:val="20"/>
        </w:rPr>
      </w:pPr>
      <w:r>
        <w:rPr>
          <w:rFonts w:hint="eastAsia" w:eastAsiaTheme="minorEastAsia"/>
          <w:b/>
          <w:bCs w:val="0"/>
          <w:lang w:val="en-US" w:eastAsia="zh-CN"/>
        </w:rPr>
        <w:t>Proposal 7: It is proposed not to pursue that a R19 UE supporting the feature may initiate the MBS Interest Indication procedure when UE is entering or leaving the intended area.</w:t>
      </w:r>
    </w:p>
    <w:p>
      <w:pPr>
        <w:pStyle w:val="2"/>
        <w:rPr>
          <w:rFonts w:cs="Arial"/>
          <w:sz w:val="32"/>
          <w:szCs w:val="32"/>
        </w:rPr>
      </w:pPr>
      <w:r>
        <w:rPr>
          <w:rFonts w:cs="Arial"/>
          <w:sz w:val="32"/>
          <w:szCs w:val="32"/>
        </w:rPr>
        <w:t>Reference</w:t>
      </w:r>
    </w:p>
    <w:p>
      <w:pPr>
        <w:pStyle w:val="27"/>
        <w:numPr>
          <w:ilvl w:val="0"/>
          <w:numId w:val="13"/>
        </w:numPr>
        <w:overflowPunct/>
        <w:autoSpaceDE/>
        <w:autoSpaceDN/>
        <w:adjustRightInd/>
        <w:spacing w:beforeLines="50" w:after="0"/>
        <w:jc w:val="left"/>
        <w:textAlignment w:val="auto"/>
      </w:pPr>
      <w:bookmarkStart w:id="16" w:name="_In-sequence_SDU_delivery"/>
      <w:bookmarkEnd w:id="16"/>
      <w:r>
        <w:rPr>
          <w:rFonts w:hint="eastAsia"/>
          <w:sz w:val="20"/>
          <w:szCs w:val="20"/>
        </w:rPr>
        <w:t>R2-128 NR-NTN-IoT-NTN (Sergio)_ EOM</w:t>
      </w:r>
    </w:p>
    <w:p>
      <w:pPr>
        <w:pStyle w:val="27"/>
        <w:numPr>
          <w:ilvl w:val="0"/>
          <w:numId w:val="0"/>
        </w:numPr>
        <w:overflowPunct/>
        <w:autoSpaceDE/>
        <w:autoSpaceDN/>
        <w:adjustRightInd/>
        <w:spacing w:beforeLines="50" w:after="0"/>
        <w:jc w:val="left"/>
        <w:textAlignment w:val="auto"/>
        <w:rPr>
          <w:rFonts w:hint="eastAsia"/>
          <w:sz w:val="20"/>
          <w:szCs w:val="20"/>
        </w:rPr>
      </w:pP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center" w:pos="4820"/>
        <w:tab w:val="right" w:pos="9639"/>
      </w:tabs>
      <w:jc w:val="left"/>
    </w:pPr>
    <w:r>
      <w:tab/>
    </w:r>
    <w:r>
      <w:rPr>
        <w:rStyle w:val="48"/>
      </w:rPr>
      <w:fldChar w:fldCharType="begin"/>
    </w:r>
    <w:r>
      <w:rPr>
        <w:rStyle w:val="48"/>
      </w:rPr>
      <w:instrText xml:space="preserve"> PAGE </w:instrText>
    </w:r>
    <w:r>
      <w:rPr>
        <w:rStyle w:val="48"/>
      </w:rPr>
      <w:fldChar w:fldCharType="separate"/>
    </w:r>
    <w:r>
      <w:rPr>
        <w:rStyle w:val="48"/>
      </w:rPr>
      <w:t>4</w:t>
    </w:r>
    <w:r>
      <w:rPr>
        <w:rStyle w:val="48"/>
      </w:rPr>
      <w:fldChar w:fldCharType="end"/>
    </w:r>
    <w:r>
      <w:rPr>
        <w:rStyle w:val="48"/>
      </w:rPr>
      <w:t>/</w:t>
    </w:r>
    <w:r>
      <w:rPr>
        <w:rStyle w:val="48"/>
      </w:rPr>
      <w:fldChar w:fldCharType="begin"/>
    </w:r>
    <w:r>
      <w:rPr>
        <w:rStyle w:val="48"/>
      </w:rPr>
      <w:instrText xml:space="preserve"> NUMPAGES </w:instrText>
    </w:r>
    <w:r>
      <w:rPr>
        <w:rStyle w:val="48"/>
      </w:rPr>
      <w:fldChar w:fldCharType="separate"/>
    </w:r>
    <w:r>
      <w:rPr>
        <w:rStyle w:val="48"/>
      </w:rPr>
      <w:t>4</w:t>
    </w:r>
    <w:r>
      <w:rPr>
        <w:rStyle w:val="48"/>
      </w:rPr>
      <w:fldChar w:fldCharType="end"/>
    </w:r>
    <w:r>
      <w:rPr>
        <w:rStyle w:val="4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027213"/>
    <w:multiLevelType w:val="singleLevel"/>
    <w:tmpl w:val="BF027213"/>
    <w:lvl w:ilvl="0" w:tentative="0">
      <w:start w:val="1"/>
      <w:numFmt w:val="decimal"/>
      <w:suff w:val="space"/>
      <w:lvlText w:val="[%1]"/>
      <w:lvlJc w:val="left"/>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sz w:val="28"/>
        <w:szCs w:val="28"/>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2F0E75E3"/>
    <w:multiLevelType w:val="multilevel"/>
    <w:tmpl w:val="2F0E75E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AA46647"/>
    <w:multiLevelType w:val="multilevel"/>
    <w:tmpl w:val="3AA46647"/>
    <w:lvl w:ilvl="0" w:tentative="0">
      <w:start w:val="1"/>
      <w:numFmt w:val="decimal"/>
      <w:pStyle w:val="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7">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4BDF65F6"/>
    <w:multiLevelType w:val="multilevel"/>
    <w:tmpl w:val="4BDF65F6"/>
    <w:lvl w:ilvl="0" w:tentative="0">
      <w:start w:val="1"/>
      <w:numFmt w:val="decimal"/>
      <w:pStyle w:val="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101505E"/>
    <w:multiLevelType w:val="multilevel"/>
    <w:tmpl w:val="5101505E"/>
    <w:lvl w:ilvl="0" w:tentative="0">
      <w:start w:val="1"/>
      <w:numFmt w:val="decimal"/>
      <w:pStyle w:val="8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7E30194"/>
    <w:multiLevelType w:val="multilevel"/>
    <w:tmpl w:val="77E30194"/>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4"/>
  </w:num>
  <w:num w:numId="3">
    <w:abstractNumId w:val="10"/>
  </w:num>
  <w:num w:numId="4">
    <w:abstractNumId w:val="7"/>
  </w:num>
  <w:num w:numId="5">
    <w:abstractNumId w:val="3"/>
  </w:num>
  <w:num w:numId="6">
    <w:abstractNumId w:val="6"/>
  </w:num>
  <w:num w:numId="7">
    <w:abstractNumId w:val="8"/>
  </w:num>
  <w:num w:numId="8">
    <w:abstractNumId w:val="5"/>
  </w:num>
  <w:num w:numId="9">
    <w:abstractNumId w:val="9"/>
  </w:num>
  <w:num w:numId="10">
    <w:abstractNumId w:val="11"/>
  </w:num>
  <w:num w:numId="11">
    <w:abstractNumId w:val="12"/>
  </w:num>
  <w:num w:numId="12">
    <w:abstractNumId w:val="2"/>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displayBackgroundShape w:val="1"/>
  <w:bordersDoNotSurroundHeader w:val="0"/>
  <w:bordersDoNotSurroundFooter w:val="0"/>
  <w:attachedTemplate r:id="rId1"/>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063"/>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4863"/>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4A48"/>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3888"/>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523"/>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152"/>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27"/>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47CAD"/>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427"/>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5D53"/>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6D1"/>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1EFD"/>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5B631E"/>
    <w:rsid w:val="016318F9"/>
    <w:rsid w:val="0176770D"/>
    <w:rsid w:val="019A10AD"/>
    <w:rsid w:val="0204112E"/>
    <w:rsid w:val="022F4B03"/>
    <w:rsid w:val="025F0B06"/>
    <w:rsid w:val="02744528"/>
    <w:rsid w:val="02807EB9"/>
    <w:rsid w:val="02CC0A1F"/>
    <w:rsid w:val="031C15A9"/>
    <w:rsid w:val="038E11A6"/>
    <w:rsid w:val="03A11802"/>
    <w:rsid w:val="03C0670A"/>
    <w:rsid w:val="03E752F4"/>
    <w:rsid w:val="03F47F88"/>
    <w:rsid w:val="042C4D81"/>
    <w:rsid w:val="04353255"/>
    <w:rsid w:val="04623E3F"/>
    <w:rsid w:val="04634577"/>
    <w:rsid w:val="04830132"/>
    <w:rsid w:val="048A5003"/>
    <w:rsid w:val="049C7A2E"/>
    <w:rsid w:val="04B2680A"/>
    <w:rsid w:val="04B403C6"/>
    <w:rsid w:val="04B93893"/>
    <w:rsid w:val="04BC080F"/>
    <w:rsid w:val="04BD1BBB"/>
    <w:rsid w:val="04F50E2F"/>
    <w:rsid w:val="05606A49"/>
    <w:rsid w:val="05983EBC"/>
    <w:rsid w:val="059F14A4"/>
    <w:rsid w:val="05A81BA7"/>
    <w:rsid w:val="05C27FC5"/>
    <w:rsid w:val="05C4403D"/>
    <w:rsid w:val="05FF6B3F"/>
    <w:rsid w:val="06261BBF"/>
    <w:rsid w:val="063B1259"/>
    <w:rsid w:val="0654248D"/>
    <w:rsid w:val="065570A3"/>
    <w:rsid w:val="06565EAE"/>
    <w:rsid w:val="069C12FF"/>
    <w:rsid w:val="072F3206"/>
    <w:rsid w:val="0750320D"/>
    <w:rsid w:val="078C1F33"/>
    <w:rsid w:val="07B959B1"/>
    <w:rsid w:val="07EF7893"/>
    <w:rsid w:val="080269D0"/>
    <w:rsid w:val="083F0917"/>
    <w:rsid w:val="0841118C"/>
    <w:rsid w:val="08604FBF"/>
    <w:rsid w:val="08AF444E"/>
    <w:rsid w:val="09133D3D"/>
    <w:rsid w:val="092D6023"/>
    <w:rsid w:val="09A7296E"/>
    <w:rsid w:val="09A815CB"/>
    <w:rsid w:val="0A1A51CE"/>
    <w:rsid w:val="0A91659F"/>
    <w:rsid w:val="0A9740DA"/>
    <w:rsid w:val="0ACC0F45"/>
    <w:rsid w:val="0AEB019B"/>
    <w:rsid w:val="0AF97CC1"/>
    <w:rsid w:val="0B3D21CC"/>
    <w:rsid w:val="0B4A1814"/>
    <w:rsid w:val="0B510D2F"/>
    <w:rsid w:val="0B6D0ACF"/>
    <w:rsid w:val="0B6F7E36"/>
    <w:rsid w:val="0BA83816"/>
    <w:rsid w:val="0BD462A5"/>
    <w:rsid w:val="0BD60B5C"/>
    <w:rsid w:val="0BFA191C"/>
    <w:rsid w:val="0C103E4C"/>
    <w:rsid w:val="0CAE5B2E"/>
    <w:rsid w:val="0CC30264"/>
    <w:rsid w:val="0CE57668"/>
    <w:rsid w:val="0D141632"/>
    <w:rsid w:val="0D524167"/>
    <w:rsid w:val="0D681ED9"/>
    <w:rsid w:val="0D6C179F"/>
    <w:rsid w:val="0D7875CA"/>
    <w:rsid w:val="0DA36DFC"/>
    <w:rsid w:val="0DDB664A"/>
    <w:rsid w:val="0DFB1CA5"/>
    <w:rsid w:val="0E891356"/>
    <w:rsid w:val="0E997EF0"/>
    <w:rsid w:val="0EBC11BB"/>
    <w:rsid w:val="0EC440FF"/>
    <w:rsid w:val="0EEE0218"/>
    <w:rsid w:val="0EF139CD"/>
    <w:rsid w:val="0F274C45"/>
    <w:rsid w:val="0F703294"/>
    <w:rsid w:val="0F7D081D"/>
    <w:rsid w:val="0FA67ED2"/>
    <w:rsid w:val="0FA82C80"/>
    <w:rsid w:val="0FCC0A5A"/>
    <w:rsid w:val="0FE0018D"/>
    <w:rsid w:val="10221AC0"/>
    <w:rsid w:val="106959E5"/>
    <w:rsid w:val="11043CD0"/>
    <w:rsid w:val="11060008"/>
    <w:rsid w:val="110F10D1"/>
    <w:rsid w:val="11B82D63"/>
    <w:rsid w:val="11C5063A"/>
    <w:rsid w:val="12156AB3"/>
    <w:rsid w:val="122A5353"/>
    <w:rsid w:val="123F66DC"/>
    <w:rsid w:val="124F15AD"/>
    <w:rsid w:val="12B27083"/>
    <w:rsid w:val="12BA7EC6"/>
    <w:rsid w:val="13116F0E"/>
    <w:rsid w:val="13132FCE"/>
    <w:rsid w:val="13285E79"/>
    <w:rsid w:val="132D7B2A"/>
    <w:rsid w:val="134A0035"/>
    <w:rsid w:val="135C7F4F"/>
    <w:rsid w:val="13AA287B"/>
    <w:rsid w:val="13AF3F95"/>
    <w:rsid w:val="13B17C5D"/>
    <w:rsid w:val="13E7351F"/>
    <w:rsid w:val="141B1C76"/>
    <w:rsid w:val="14586D49"/>
    <w:rsid w:val="147E35AF"/>
    <w:rsid w:val="14863487"/>
    <w:rsid w:val="14A20FFB"/>
    <w:rsid w:val="14D97F69"/>
    <w:rsid w:val="151B0F84"/>
    <w:rsid w:val="153214F9"/>
    <w:rsid w:val="153372CB"/>
    <w:rsid w:val="154E3CB1"/>
    <w:rsid w:val="15C933D5"/>
    <w:rsid w:val="15C95ACB"/>
    <w:rsid w:val="15D62C41"/>
    <w:rsid w:val="16550D59"/>
    <w:rsid w:val="16563130"/>
    <w:rsid w:val="169343E9"/>
    <w:rsid w:val="16AA08E2"/>
    <w:rsid w:val="16C46C3F"/>
    <w:rsid w:val="16F24CA6"/>
    <w:rsid w:val="17224A41"/>
    <w:rsid w:val="173C4096"/>
    <w:rsid w:val="177E36D0"/>
    <w:rsid w:val="17FE5D44"/>
    <w:rsid w:val="180E362D"/>
    <w:rsid w:val="181A3EFC"/>
    <w:rsid w:val="18787128"/>
    <w:rsid w:val="188344FD"/>
    <w:rsid w:val="18B9619D"/>
    <w:rsid w:val="19035303"/>
    <w:rsid w:val="190B5E06"/>
    <w:rsid w:val="191242AE"/>
    <w:rsid w:val="192F184A"/>
    <w:rsid w:val="19642202"/>
    <w:rsid w:val="19AC5C42"/>
    <w:rsid w:val="19BC1AC5"/>
    <w:rsid w:val="1A330485"/>
    <w:rsid w:val="1A495354"/>
    <w:rsid w:val="1AC35E60"/>
    <w:rsid w:val="1AEF5DBD"/>
    <w:rsid w:val="1B181180"/>
    <w:rsid w:val="1B363FB3"/>
    <w:rsid w:val="1B423649"/>
    <w:rsid w:val="1B9978DA"/>
    <w:rsid w:val="1BA24967"/>
    <w:rsid w:val="1BAD2CF8"/>
    <w:rsid w:val="1BD95F94"/>
    <w:rsid w:val="1BDA5141"/>
    <w:rsid w:val="1C2D3246"/>
    <w:rsid w:val="1C3D1CD0"/>
    <w:rsid w:val="1C530B55"/>
    <w:rsid w:val="1C5E7298"/>
    <w:rsid w:val="1C7D75F7"/>
    <w:rsid w:val="1C851710"/>
    <w:rsid w:val="1CCE570D"/>
    <w:rsid w:val="1CED21E6"/>
    <w:rsid w:val="1D2F5A54"/>
    <w:rsid w:val="1D774AF0"/>
    <w:rsid w:val="1DA0306B"/>
    <w:rsid w:val="1DDD518B"/>
    <w:rsid w:val="1DEE0D18"/>
    <w:rsid w:val="1E3072B7"/>
    <w:rsid w:val="1E3A6E31"/>
    <w:rsid w:val="1E403C53"/>
    <w:rsid w:val="1E4A0692"/>
    <w:rsid w:val="1E4E2483"/>
    <w:rsid w:val="1EA20D4A"/>
    <w:rsid w:val="1EAA6DF5"/>
    <w:rsid w:val="1EB666E9"/>
    <w:rsid w:val="1EDC0AC9"/>
    <w:rsid w:val="1EFF6958"/>
    <w:rsid w:val="1F0A1209"/>
    <w:rsid w:val="1F66136E"/>
    <w:rsid w:val="1F734328"/>
    <w:rsid w:val="1FA0723F"/>
    <w:rsid w:val="1FA11974"/>
    <w:rsid w:val="1FAC7B28"/>
    <w:rsid w:val="1FB62E02"/>
    <w:rsid w:val="200E7F8F"/>
    <w:rsid w:val="20203DE8"/>
    <w:rsid w:val="2031215C"/>
    <w:rsid w:val="20955704"/>
    <w:rsid w:val="209A3575"/>
    <w:rsid w:val="20A34269"/>
    <w:rsid w:val="20B50905"/>
    <w:rsid w:val="20D14CCB"/>
    <w:rsid w:val="20DB7C51"/>
    <w:rsid w:val="20E9518E"/>
    <w:rsid w:val="211313D4"/>
    <w:rsid w:val="21533CE4"/>
    <w:rsid w:val="21A07FD7"/>
    <w:rsid w:val="21F86645"/>
    <w:rsid w:val="22721758"/>
    <w:rsid w:val="22890610"/>
    <w:rsid w:val="22CC7A7A"/>
    <w:rsid w:val="22DE0319"/>
    <w:rsid w:val="234E7F45"/>
    <w:rsid w:val="236420CF"/>
    <w:rsid w:val="236E7D5F"/>
    <w:rsid w:val="23940028"/>
    <w:rsid w:val="23987155"/>
    <w:rsid w:val="239E787E"/>
    <w:rsid w:val="23D77568"/>
    <w:rsid w:val="23FC31DD"/>
    <w:rsid w:val="241418CB"/>
    <w:rsid w:val="243463DC"/>
    <w:rsid w:val="244D3D76"/>
    <w:rsid w:val="245B6D34"/>
    <w:rsid w:val="248D4F84"/>
    <w:rsid w:val="24955F0E"/>
    <w:rsid w:val="249A587D"/>
    <w:rsid w:val="24A5731F"/>
    <w:rsid w:val="24B5447A"/>
    <w:rsid w:val="24B82068"/>
    <w:rsid w:val="24DB5298"/>
    <w:rsid w:val="24E10292"/>
    <w:rsid w:val="24F55D6D"/>
    <w:rsid w:val="25043CC9"/>
    <w:rsid w:val="2513137F"/>
    <w:rsid w:val="25145D5F"/>
    <w:rsid w:val="25281B00"/>
    <w:rsid w:val="2596743F"/>
    <w:rsid w:val="25B04847"/>
    <w:rsid w:val="2604776B"/>
    <w:rsid w:val="263D31A3"/>
    <w:rsid w:val="265756B5"/>
    <w:rsid w:val="26A672A2"/>
    <w:rsid w:val="26AB2557"/>
    <w:rsid w:val="270E655F"/>
    <w:rsid w:val="27306E68"/>
    <w:rsid w:val="275E7C63"/>
    <w:rsid w:val="27606908"/>
    <w:rsid w:val="277E77C1"/>
    <w:rsid w:val="278A496D"/>
    <w:rsid w:val="27AB2710"/>
    <w:rsid w:val="27D72CC4"/>
    <w:rsid w:val="27D7484C"/>
    <w:rsid w:val="27E26E59"/>
    <w:rsid w:val="2809471B"/>
    <w:rsid w:val="28255BB3"/>
    <w:rsid w:val="285478B9"/>
    <w:rsid w:val="287D5E75"/>
    <w:rsid w:val="289579C1"/>
    <w:rsid w:val="289C45C3"/>
    <w:rsid w:val="28AD0B61"/>
    <w:rsid w:val="28ED12AF"/>
    <w:rsid w:val="291D6E54"/>
    <w:rsid w:val="291F7D02"/>
    <w:rsid w:val="292348C0"/>
    <w:rsid w:val="29423CBE"/>
    <w:rsid w:val="29462B04"/>
    <w:rsid w:val="2961737A"/>
    <w:rsid w:val="2966681A"/>
    <w:rsid w:val="298F21F5"/>
    <w:rsid w:val="29991D1E"/>
    <w:rsid w:val="29C43864"/>
    <w:rsid w:val="29CD3FA9"/>
    <w:rsid w:val="29CE31A3"/>
    <w:rsid w:val="2A46578A"/>
    <w:rsid w:val="2A4B23FB"/>
    <w:rsid w:val="2A606520"/>
    <w:rsid w:val="2AC82235"/>
    <w:rsid w:val="2AF0613E"/>
    <w:rsid w:val="2B083F92"/>
    <w:rsid w:val="2B542A45"/>
    <w:rsid w:val="2B697187"/>
    <w:rsid w:val="2B8C2CC8"/>
    <w:rsid w:val="2BB75019"/>
    <w:rsid w:val="2BD870AF"/>
    <w:rsid w:val="2BE54292"/>
    <w:rsid w:val="2C13051C"/>
    <w:rsid w:val="2CDA5BC3"/>
    <w:rsid w:val="2CF34F2F"/>
    <w:rsid w:val="2CF51ED1"/>
    <w:rsid w:val="2CFA23BD"/>
    <w:rsid w:val="2D3B228A"/>
    <w:rsid w:val="2D5923F4"/>
    <w:rsid w:val="2D613D2F"/>
    <w:rsid w:val="2D76510F"/>
    <w:rsid w:val="2DB6192E"/>
    <w:rsid w:val="2DBD7048"/>
    <w:rsid w:val="2DD959C6"/>
    <w:rsid w:val="2DF1447C"/>
    <w:rsid w:val="2DF36570"/>
    <w:rsid w:val="2E1A4203"/>
    <w:rsid w:val="2E2831C7"/>
    <w:rsid w:val="2EB775B3"/>
    <w:rsid w:val="2EE85B84"/>
    <w:rsid w:val="2EF94A67"/>
    <w:rsid w:val="2F775104"/>
    <w:rsid w:val="2F931D55"/>
    <w:rsid w:val="300D4E4E"/>
    <w:rsid w:val="302454E4"/>
    <w:rsid w:val="302E07AF"/>
    <w:rsid w:val="303939AD"/>
    <w:rsid w:val="30946552"/>
    <w:rsid w:val="30AF76EE"/>
    <w:rsid w:val="30CB47BF"/>
    <w:rsid w:val="310423D7"/>
    <w:rsid w:val="311B0263"/>
    <w:rsid w:val="319D3380"/>
    <w:rsid w:val="31AB31CF"/>
    <w:rsid w:val="31AE180F"/>
    <w:rsid w:val="31B46F9B"/>
    <w:rsid w:val="31C658F3"/>
    <w:rsid w:val="3255145A"/>
    <w:rsid w:val="327824D0"/>
    <w:rsid w:val="32903B78"/>
    <w:rsid w:val="32A942B0"/>
    <w:rsid w:val="32B34978"/>
    <w:rsid w:val="32F13120"/>
    <w:rsid w:val="33006942"/>
    <w:rsid w:val="3319216C"/>
    <w:rsid w:val="333663A2"/>
    <w:rsid w:val="33D57B46"/>
    <w:rsid w:val="33E26367"/>
    <w:rsid w:val="33F614DE"/>
    <w:rsid w:val="3438527B"/>
    <w:rsid w:val="345C09B1"/>
    <w:rsid w:val="34666505"/>
    <w:rsid w:val="34914DCA"/>
    <w:rsid w:val="34A672EE"/>
    <w:rsid w:val="34AD3848"/>
    <w:rsid w:val="34C6331F"/>
    <w:rsid w:val="34D545BA"/>
    <w:rsid w:val="34D95BB9"/>
    <w:rsid w:val="3507028C"/>
    <w:rsid w:val="350A225C"/>
    <w:rsid w:val="351A4329"/>
    <w:rsid w:val="35237C4E"/>
    <w:rsid w:val="353B26A5"/>
    <w:rsid w:val="355965DA"/>
    <w:rsid w:val="361C2353"/>
    <w:rsid w:val="3635547B"/>
    <w:rsid w:val="36746B61"/>
    <w:rsid w:val="36A9407C"/>
    <w:rsid w:val="36CA291A"/>
    <w:rsid w:val="36DE72D5"/>
    <w:rsid w:val="36FA1D41"/>
    <w:rsid w:val="372D051E"/>
    <w:rsid w:val="374956F3"/>
    <w:rsid w:val="37875B1D"/>
    <w:rsid w:val="378E04E4"/>
    <w:rsid w:val="3799690B"/>
    <w:rsid w:val="37C2178A"/>
    <w:rsid w:val="37CA7D58"/>
    <w:rsid w:val="37CD35DE"/>
    <w:rsid w:val="37D16521"/>
    <w:rsid w:val="37F50C06"/>
    <w:rsid w:val="380411EC"/>
    <w:rsid w:val="38084F02"/>
    <w:rsid w:val="3829480D"/>
    <w:rsid w:val="383529C2"/>
    <w:rsid w:val="383C5BD0"/>
    <w:rsid w:val="38536D3F"/>
    <w:rsid w:val="38651BE9"/>
    <w:rsid w:val="38677D19"/>
    <w:rsid w:val="388008B3"/>
    <w:rsid w:val="388727CC"/>
    <w:rsid w:val="389727CC"/>
    <w:rsid w:val="38A0684E"/>
    <w:rsid w:val="38E06D41"/>
    <w:rsid w:val="38E63823"/>
    <w:rsid w:val="38E72762"/>
    <w:rsid w:val="39024B57"/>
    <w:rsid w:val="391E61C3"/>
    <w:rsid w:val="392853F4"/>
    <w:rsid w:val="394113D3"/>
    <w:rsid w:val="3955089B"/>
    <w:rsid w:val="395F7742"/>
    <w:rsid w:val="39E7178F"/>
    <w:rsid w:val="3A06167E"/>
    <w:rsid w:val="3A6F42D5"/>
    <w:rsid w:val="3A82293D"/>
    <w:rsid w:val="3A9E2AD9"/>
    <w:rsid w:val="3ACC12DD"/>
    <w:rsid w:val="3B5B04B2"/>
    <w:rsid w:val="3B9A5007"/>
    <w:rsid w:val="3BC23F1A"/>
    <w:rsid w:val="3C223052"/>
    <w:rsid w:val="3C5503C9"/>
    <w:rsid w:val="3CC50AEE"/>
    <w:rsid w:val="3CD8469E"/>
    <w:rsid w:val="3CF36A2A"/>
    <w:rsid w:val="3D2E7413"/>
    <w:rsid w:val="3D515C28"/>
    <w:rsid w:val="3D966C01"/>
    <w:rsid w:val="3DA51E2F"/>
    <w:rsid w:val="3DB43891"/>
    <w:rsid w:val="3DBB3CB3"/>
    <w:rsid w:val="3DDE328E"/>
    <w:rsid w:val="3E2E4ADA"/>
    <w:rsid w:val="3E4864CC"/>
    <w:rsid w:val="3EBD31E6"/>
    <w:rsid w:val="3EBF28AB"/>
    <w:rsid w:val="3EC01B26"/>
    <w:rsid w:val="3ED15E5F"/>
    <w:rsid w:val="3EE00B8B"/>
    <w:rsid w:val="3F544C17"/>
    <w:rsid w:val="3F56446E"/>
    <w:rsid w:val="3F961152"/>
    <w:rsid w:val="3FAC0319"/>
    <w:rsid w:val="3FB079DC"/>
    <w:rsid w:val="3FBC4178"/>
    <w:rsid w:val="401A56F9"/>
    <w:rsid w:val="40325295"/>
    <w:rsid w:val="403847C1"/>
    <w:rsid w:val="40464411"/>
    <w:rsid w:val="408C6E25"/>
    <w:rsid w:val="40A97F0E"/>
    <w:rsid w:val="40B542D9"/>
    <w:rsid w:val="40CA29DC"/>
    <w:rsid w:val="40D86268"/>
    <w:rsid w:val="40EB3944"/>
    <w:rsid w:val="40F82E28"/>
    <w:rsid w:val="40FB12FD"/>
    <w:rsid w:val="41077C44"/>
    <w:rsid w:val="41471FA6"/>
    <w:rsid w:val="41585AC3"/>
    <w:rsid w:val="415B4270"/>
    <w:rsid w:val="41B34CCB"/>
    <w:rsid w:val="41D00C05"/>
    <w:rsid w:val="41DB1250"/>
    <w:rsid w:val="420610DF"/>
    <w:rsid w:val="42470693"/>
    <w:rsid w:val="42784F38"/>
    <w:rsid w:val="42845375"/>
    <w:rsid w:val="429544E1"/>
    <w:rsid w:val="429A669A"/>
    <w:rsid w:val="42CE6929"/>
    <w:rsid w:val="42F71CEC"/>
    <w:rsid w:val="43CC0F65"/>
    <w:rsid w:val="43E6767C"/>
    <w:rsid w:val="443B107F"/>
    <w:rsid w:val="443B1152"/>
    <w:rsid w:val="445D09F4"/>
    <w:rsid w:val="448F3C0A"/>
    <w:rsid w:val="44B14540"/>
    <w:rsid w:val="44BA7E1E"/>
    <w:rsid w:val="44BE79C3"/>
    <w:rsid w:val="453A44C6"/>
    <w:rsid w:val="45CA31DA"/>
    <w:rsid w:val="45EC6821"/>
    <w:rsid w:val="45F303D0"/>
    <w:rsid w:val="464004CF"/>
    <w:rsid w:val="46544A59"/>
    <w:rsid w:val="46B51FCF"/>
    <w:rsid w:val="46BA0199"/>
    <w:rsid w:val="46D74DAF"/>
    <w:rsid w:val="47062A9A"/>
    <w:rsid w:val="47993F84"/>
    <w:rsid w:val="47B83FA1"/>
    <w:rsid w:val="47BD666C"/>
    <w:rsid w:val="480A17DC"/>
    <w:rsid w:val="481C5974"/>
    <w:rsid w:val="4846796F"/>
    <w:rsid w:val="486639E5"/>
    <w:rsid w:val="487A095F"/>
    <w:rsid w:val="48B93CAD"/>
    <w:rsid w:val="48C621F7"/>
    <w:rsid w:val="48D31947"/>
    <w:rsid w:val="49495158"/>
    <w:rsid w:val="49AA66DF"/>
    <w:rsid w:val="49EF1DDD"/>
    <w:rsid w:val="4A17114C"/>
    <w:rsid w:val="4A284A82"/>
    <w:rsid w:val="4A662E1D"/>
    <w:rsid w:val="4A7E32B4"/>
    <w:rsid w:val="4A99715A"/>
    <w:rsid w:val="4AC00034"/>
    <w:rsid w:val="4AE7217A"/>
    <w:rsid w:val="4AFC533A"/>
    <w:rsid w:val="4B1367B9"/>
    <w:rsid w:val="4B316DE7"/>
    <w:rsid w:val="4BA23F51"/>
    <w:rsid w:val="4C057B6E"/>
    <w:rsid w:val="4C0C1950"/>
    <w:rsid w:val="4C353BC7"/>
    <w:rsid w:val="4C36309A"/>
    <w:rsid w:val="4C58011F"/>
    <w:rsid w:val="4C5D54D6"/>
    <w:rsid w:val="4C7A41E4"/>
    <w:rsid w:val="4C814518"/>
    <w:rsid w:val="4C91315E"/>
    <w:rsid w:val="4CAD0872"/>
    <w:rsid w:val="4CC921E6"/>
    <w:rsid w:val="4CCE50CA"/>
    <w:rsid w:val="4CEB1651"/>
    <w:rsid w:val="4CF52497"/>
    <w:rsid w:val="4CFC5090"/>
    <w:rsid w:val="4D2B1DA7"/>
    <w:rsid w:val="4D3A24A4"/>
    <w:rsid w:val="4D594475"/>
    <w:rsid w:val="4DB06342"/>
    <w:rsid w:val="4DC729B3"/>
    <w:rsid w:val="4DE8181F"/>
    <w:rsid w:val="4DEC01C6"/>
    <w:rsid w:val="4DF158ED"/>
    <w:rsid w:val="4E147614"/>
    <w:rsid w:val="4E4D0205"/>
    <w:rsid w:val="4E873862"/>
    <w:rsid w:val="4EC83A06"/>
    <w:rsid w:val="4F2C3853"/>
    <w:rsid w:val="4F526750"/>
    <w:rsid w:val="4F6B3677"/>
    <w:rsid w:val="4F6F58E0"/>
    <w:rsid w:val="4F7F20AA"/>
    <w:rsid w:val="4F873909"/>
    <w:rsid w:val="4FF617D6"/>
    <w:rsid w:val="4FF649F9"/>
    <w:rsid w:val="4FFB32E7"/>
    <w:rsid w:val="503A669C"/>
    <w:rsid w:val="50527741"/>
    <w:rsid w:val="506B2DFC"/>
    <w:rsid w:val="50A4438F"/>
    <w:rsid w:val="50E64646"/>
    <w:rsid w:val="511F1374"/>
    <w:rsid w:val="51545711"/>
    <w:rsid w:val="516A6684"/>
    <w:rsid w:val="518C6DB2"/>
    <w:rsid w:val="51CB2856"/>
    <w:rsid w:val="51E04809"/>
    <w:rsid w:val="51E261D3"/>
    <w:rsid w:val="5216635A"/>
    <w:rsid w:val="521C2FA3"/>
    <w:rsid w:val="525B1064"/>
    <w:rsid w:val="52BB0D49"/>
    <w:rsid w:val="531C2067"/>
    <w:rsid w:val="532C26FC"/>
    <w:rsid w:val="53322A76"/>
    <w:rsid w:val="533F1322"/>
    <w:rsid w:val="539B3C5F"/>
    <w:rsid w:val="53C27D6A"/>
    <w:rsid w:val="53C54AA3"/>
    <w:rsid w:val="54324E5A"/>
    <w:rsid w:val="54A648D1"/>
    <w:rsid w:val="54E44ED6"/>
    <w:rsid w:val="54F52DC9"/>
    <w:rsid w:val="55571991"/>
    <w:rsid w:val="55744E89"/>
    <w:rsid w:val="55880467"/>
    <w:rsid w:val="55A97243"/>
    <w:rsid w:val="55E03256"/>
    <w:rsid w:val="56132360"/>
    <w:rsid w:val="566931AC"/>
    <w:rsid w:val="567760E3"/>
    <w:rsid w:val="569D2402"/>
    <w:rsid w:val="56B85F16"/>
    <w:rsid w:val="56BB4BB7"/>
    <w:rsid w:val="56F374FB"/>
    <w:rsid w:val="570E7622"/>
    <w:rsid w:val="57796E51"/>
    <w:rsid w:val="57E80074"/>
    <w:rsid w:val="584D19EF"/>
    <w:rsid w:val="588D3796"/>
    <w:rsid w:val="5936030B"/>
    <w:rsid w:val="59620232"/>
    <w:rsid w:val="597E312B"/>
    <w:rsid w:val="597F641F"/>
    <w:rsid w:val="59A00F56"/>
    <w:rsid w:val="59B24039"/>
    <w:rsid w:val="5A0B02FC"/>
    <w:rsid w:val="5A31005C"/>
    <w:rsid w:val="5A32467E"/>
    <w:rsid w:val="5A3C4744"/>
    <w:rsid w:val="5AD27471"/>
    <w:rsid w:val="5AD86008"/>
    <w:rsid w:val="5AE910B8"/>
    <w:rsid w:val="5B0E20D9"/>
    <w:rsid w:val="5B130E01"/>
    <w:rsid w:val="5B8D1AC1"/>
    <w:rsid w:val="5BA3592C"/>
    <w:rsid w:val="5C303B7E"/>
    <w:rsid w:val="5C57280E"/>
    <w:rsid w:val="5C610721"/>
    <w:rsid w:val="5C617A21"/>
    <w:rsid w:val="5C8B6FF1"/>
    <w:rsid w:val="5C8C3D5F"/>
    <w:rsid w:val="5CC33510"/>
    <w:rsid w:val="5CF44D34"/>
    <w:rsid w:val="5CFE4143"/>
    <w:rsid w:val="5D3B1572"/>
    <w:rsid w:val="5D780A17"/>
    <w:rsid w:val="5D99368A"/>
    <w:rsid w:val="5DD60701"/>
    <w:rsid w:val="5DFC3A60"/>
    <w:rsid w:val="5E204AD7"/>
    <w:rsid w:val="5E445CC2"/>
    <w:rsid w:val="5E4C6102"/>
    <w:rsid w:val="5E6D4BC0"/>
    <w:rsid w:val="5ED06481"/>
    <w:rsid w:val="5EEA5BA3"/>
    <w:rsid w:val="5F3E69CE"/>
    <w:rsid w:val="5F48763E"/>
    <w:rsid w:val="5FB07B0E"/>
    <w:rsid w:val="5FB93853"/>
    <w:rsid w:val="6009519E"/>
    <w:rsid w:val="600E1625"/>
    <w:rsid w:val="60581636"/>
    <w:rsid w:val="6089214B"/>
    <w:rsid w:val="60AD4549"/>
    <w:rsid w:val="60AD5F5F"/>
    <w:rsid w:val="60AE50AE"/>
    <w:rsid w:val="60DD501D"/>
    <w:rsid w:val="60E30438"/>
    <w:rsid w:val="60F9202B"/>
    <w:rsid w:val="612D3C7B"/>
    <w:rsid w:val="61826F89"/>
    <w:rsid w:val="61B51D80"/>
    <w:rsid w:val="62277716"/>
    <w:rsid w:val="623E2101"/>
    <w:rsid w:val="62693A03"/>
    <w:rsid w:val="62816806"/>
    <w:rsid w:val="62947A1C"/>
    <w:rsid w:val="62CD6DE1"/>
    <w:rsid w:val="62D31602"/>
    <w:rsid w:val="62DB67DA"/>
    <w:rsid w:val="62E437A2"/>
    <w:rsid w:val="62E70A4E"/>
    <w:rsid w:val="62FD4A9D"/>
    <w:rsid w:val="632C6FC4"/>
    <w:rsid w:val="633D546F"/>
    <w:rsid w:val="634169FD"/>
    <w:rsid w:val="634B3FF6"/>
    <w:rsid w:val="63786040"/>
    <w:rsid w:val="637F2D00"/>
    <w:rsid w:val="63C723DB"/>
    <w:rsid w:val="63E523E7"/>
    <w:rsid w:val="6414316C"/>
    <w:rsid w:val="64182E8A"/>
    <w:rsid w:val="64460ECC"/>
    <w:rsid w:val="644F5E22"/>
    <w:rsid w:val="64681DB1"/>
    <w:rsid w:val="646F5052"/>
    <w:rsid w:val="64902A98"/>
    <w:rsid w:val="64B410B0"/>
    <w:rsid w:val="64D843A5"/>
    <w:rsid w:val="64E843E7"/>
    <w:rsid w:val="65115EE0"/>
    <w:rsid w:val="652B7ADD"/>
    <w:rsid w:val="65421C09"/>
    <w:rsid w:val="662C40AE"/>
    <w:rsid w:val="663B46C9"/>
    <w:rsid w:val="663F30CF"/>
    <w:rsid w:val="6698220E"/>
    <w:rsid w:val="669D2FFE"/>
    <w:rsid w:val="66B1186C"/>
    <w:rsid w:val="66E640D9"/>
    <w:rsid w:val="67152C09"/>
    <w:rsid w:val="673A01AF"/>
    <w:rsid w:val="67413BF6"/>
    <w:rsid w:val="674212A6"/>
    <w:rsid w:val="6755359A"/>
    <w:rsid w:val="675C2222"/>
    <w:rsid w:val="675D2C2F"/>
    <w:rsid w:val="67756A88"/>
    <w:rsid w:val="677905CE"/>
    <w:rsid w:val="677A5055"/>
    <w:rsid w:val="67971B0A"/>
    <w:rsid w:val="67A7418D"/>
    <w:rsid w:val="67BF57A3"/>
    <w:rsid w:val="67D27C62"/>
    <w:rsid w:val="67DF6978"/>
    <w:rsid w:val="6808153D"/>
    <w:rsid w:val="68412A6B"/>
    <w:rsid w:val="69193357"/>
    <w:rsid w:val="694E04D2"/>
    <w:rsid w:val="698044A5"/>
    <w:rsid w:val="6A114647"/>
    <w:rsid w:val="6A510F7A"/>
    <w:rsid w:val="6A6B1CE7"/>
    <w:rsid w:val="6A7E1356"/>
    <w:rsid w:val="6AA67E64"/>
    <w:rsid w:val="6B0D712F"/>
    <w:rsid w:val="6B28575B"/>
    <w:rsid w:val="6B320B92"/>
    <w:rsid w:val="6B3A23C3"/>
    <w:rsid w:val="6B717388"/>
    <w:rsid w:val="6BA11D8E"/>
    <w:rsid w:val="6BE4485D"/>
    <w:rsid w:val="6BEE2278"/>
    <w:rsid w:val="6C267BFC"/>
    <w:rsid w:val="6C3716E6"/>
    <w:rsid w:val="6C3A3E01"/>
    <w:rsid w:val="6C3B431E"/>
    <w:rsid w:val="6C3D5D33"/>
    <w:rsid w:val="6C5F105B"/>
    <w:rsid w:val="6C705B75"/>
    <w:rsid w:val="6C7D1763"/>
    <w:rsid w:val="6C857DA8"/>
    <w:rsid w:val="6C941026"/>
    <w:rsid w:val="6CA548BC"/>
    <w:rsid w:val="6CB665FF"/>
    <w:rsid w:val="6CC1587C"/>
    <w:rsid w:val="6CEF50C6"/>
    <w:rsid w:val="6D0646EB"/>
    <w:rsid w:val="6D2B74AA"/>
    <w:rsid w:val="6D697BC3"/>
    <w:rsid w:val="6D7111BC"/>
    <w:rsid w:val="6DA947B2"/>
    <w:rsid w:val="6DCA5CB9"/>
    <w:rsid w:val="6DD453D5"/>
    <w:rsid w:val="6DF93947"/>
    <w:rsid w:val="6E280F38"/>
    <w:rsid w:val="6E360C61"/>
    <w:rsid w:val="6E3D05EC"/>
    <w:rsid w:val="6E472A13"/>
    <w:rsid w:val="6E8A21F7"/>
    <w:rsid w:val="6EA410B2"/>
    <w:rsid w:val="6ED40840"/>
    <w:rsid w:val="6ED837EB"/>
    <w:rsid w:val="6EE576BA"/>
    <w:rsid w:val="6F01162E"/>
    <w:rsid w:val="6F034B31"/>
    <w:rsid w:val="6F2867BD"/>
    <w:rsid w:val="6F44559B"/>
    <w:rsid w:val="6F5E7C46"/>
    <w:rsid w:val="6F8B0168"/>
    <w:rsid w:val="6FC43175"/>
    <w:rsid w:val="6FF731B6"/>
    <w:rsid w:val="703A2630"/>
    <w:rsid w:val="709C594C"/>
    <w:rsid w:val="70DE4029"/>
    <w:rsid w:val="71231AF4"/>
    <w:rsid w:val="7185216A"/>
    <w:rsid w:val="718F1BBF"/>
    <w:rsid w:val="71CB0DCD"/>
    <w:rsid w:val="71D05F49"/>
    <w:rsid w:val="71ED7728"/>
    <w:rsid w:val="726760BC"/>
    <w:rsid w:val="72CC70E6"/>
    <w:rsid w:val="72D65439"/>
    <w:rsid w:val="73090FE2"/>
    <w:rsid w:val="731D6FC4"/>
    <w:rsid w:val="73265607"/>
    <w:rsid w:val="73A60CBE"/>
    <w:rsid w:val="73AA4E32"/>
    <w:rsid w:val="73D5144B"/>
    <w:rsid w:val="73E40269"/>
    <w:rsid w:val="73F82EA2"/>
    <w:rsid w:val="7435596C"/>
    <w:rsid w:val="745F4234"/>
    <w:rsid w:val="746C72EA"/>
    <w:rsid w:val="74722C9A"/>
    <w:rsid w:val="7475358D"/>
    <w:rsid w:val="74782DEF"/>
    <w:rsid w:val="747E452E"/>
    <w:rsid w:val="74FA5A4A"/>
    <w:rsid w:val="755F161D"/>
    <w:rsid w:val="758576AD"/>
    <w:rsid w:val="75884210"/>
    <w:rsid w:val="75BD4A84"/>
    <w:rsid w:val="75D454CE"/>
    <w:rsid w:val="75EA7003"/>
    <w:rsid w:val="760D56E2"/>
    <w:rsid w:val="76260D51"/>
    <w:rsid w:val="766D24C6"/>
    <w:rsid w:val="76EE218C"/>
    <w:rsid w:val="77250641"/>
    <w:rsid w:val="772E0B03"/>
    <w:rsid w:val="778A542A"/>
    <w:rsid w:val="77C177F8"/>
    <w:rsid w:val="77CE7A13"/>
    <w:rsid w:val="77CF3E4F"/>
    <w:rsid w:val="77D309AE"/>
    <w:rsid w:val="77EF5E51"/>
    <w:rsid w:val="77F65DDE"/>
    <w:rsid w:val="7818791D"/>
    <w:rsid w:val="78D84090"/>
    <w:rsid w:val="78EF6DB3"/>
    <w:rsid w:val="79214247"/>
    <w:rsid w:val="792718FA"/>
    <w:rsid w:val="79332F0B"/>
    <w:rsid w:val="797F74A2"/>
    <w:rsid w:val="798E18C9"/>
    <w:rsid w:val="799835AD"/>
    <w:rsid w:val="79A56E86"/>
    <w:rsid w:val="79BB51B5"/>
    <w:rsid w:val="79C11BD2"/>
    <w:rsid w:val="79E8078D"/>
    <w:rsid w:val="7A3422EE"/>
    <w:rsid w:val="7A4774F3"/>
    <w:rsid w:val="7A556E34"/>
    <w:rsid w:val="7A634533"/>
    <w:rsid w:val="7AA678C6"/>
    <w:rsid w:val="7ACF4407"/>
    <w:rsid w:val="7B113087"/>
    <w:rsid w:val="7B462CD2"/>
    <w:rsid w:val="7B5441DD"/>
    <w:rsid w:val="7B902188"/>
    <w:rsid w:val="7B9E2E7D"/>
    <w:rsid w:val="7BCD1523"/>
    <w:rsid w:val="7BD26CD3"/>
    <w:rsid w:val="7BEA35A6"/>
    <w:rsid w:val="7C027B82"/>
    <w:rsid w:val="7C050B07"/>
    <w:rsid w:val="7C9B1742"/>
    <w:rsid w:val="7C9E7A01"/>
    <w:rsid w:val="7CB80A66"/>
    <w:rsid w:val="7CB8413B"/>
    <w:rsid w:val="7CF92699"/>
    <w:rsid w:val="7D2E186E"/>
    <w:rsid w:val="7D39679F"/>
    <w:rsid w:val="7D3B525E"/>
    <w:rsid w:val="7D8F4D8B"/>
    <w:rsid w:val="7DA8331F"/>
    <w:rsid w:val="7DBA4407"/>
    <w:rsid w:val="7DC4445F"/>
    <w:rsid w:val="7DD14D63"/>
    <w:rsid w:val="7E0773D0"/>
    <w:rsid w:val="7E431A61"/>
    <w:rsid w:val="7E5D66DD"/>
    <w:rsid w:val="7E734104"/>
    <w:rsid w:val="7E8C0561"/>
    <w:rsid w:val="7EAB2A75"/>
    <w:rsid w:val="7EBA0FF5"/>
    <w:rsid w:val="7ED317FE"/>
    <w:rsid w:val="7EEE5FCC"/>
    <w:rsid w:val="7F08472B"/>
    <w:rsid w:val="7F0A41FB"/>
    <w:rsid w:val="7F0D1DF2"/>
    <w:rsid w:val="7F180AE2"/>
    <w:rsid w:val="7F1B2068"/>
    <w:rsid w:val="7F2E279D"/>
    <w:rsid w:val="7F5130BD"/>
    <w:rsid w:val="7F5E5386"/>
    <w:rsid w:val="7F60044C"/>
    <w:rsid w:val="7F7054DF"/>
    <w:rsid w:val="7F880165"/>
    <w:rsid w:val="7F965978"/>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0"/>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3"/>
    <w:next w:val="1"/>
    <w:qFormat/>
    <w:uiPriority w:val="0"/>
    <w:pPr>
      <w:spacing w:before="120"/>
      <w:outlineLvl w:val="2"/>
    </w:pPr>
    <w:rPr>
      <w:sz w:val="28"/>
      <w:szCs w:val="28"/>
    </w:rPr>
  </w:style>
  <w:style w:type="paragraph" w:styleId="5">
    <w:name w:val="heading 4"/>
    <w:basedOn w:val="4"/>
    <w:next w:val="1"/>
    <w:qFormat/>
    <w:uiPriority w:val="0"/>
    <w:pPr>
      <w:outlineLvl w:val="3"/>
    </w:pPr>
    <w:rPr>
      <w:sz w:val="24"/>
      <w:szCs w:val="24"/>
    </w:rPr>
  </w:style>
  <w:style w:type="paragraph" w:styleId="6">
    <w:name w:val="heading 5"/>
    <w:basedOn w:val="5"/>
    <w:next w:val="1"/>
    <w:qFormat/>
    <w:uiPriority w:val="0"/>
    <w:pPr>
      <w:outlineLvl w:val="4"/>
    </w:pPr>
    <w:rPr>
      <w:sz w:val="22"/>
      <w:szCs w:val="22"/>
    </w:rPr>
  </w:style>
  <w:style w:type="paragraph" w:styleId="7">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qFormat/>
    <w:uiPriority w:val="0"/>
    <w:pPr>
      <w:numPr>
        <w:ilvl w:val="7"/>
      </w:numPr>
      <w:tabs>
        <w:tab w:val="clear" w:pos="1296"/>
      </w:tabs>
      <w:outlineLvl w:val="7"/>
    </w:pPr>
  </w:style>
  <w:style w:type="paragraph" w:styleId="10">
    <w:name w:val="heading 9"/>
    <w:basedOn w:val="9"/>
    <w:next w:val="1"/>
    <w:qFormat/>
    <w:uiPriority w:val="0"/>
    <w:pPr>
      <w:numPr>
        <w:ilvl w:val="8"/>
      </w:num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semiHidden/>
    <w:qFormat/>
    <w:uiPriority w:val="0"/>
    <w:pPr>
      <w:tabs>
        <w:tab w:val="right" w:pos="1701"/>
      </w:tabs>
      <w:ind w:left="2268" w:hanging="2268"/>
    </w:pPr>
  </w:style>
  <w:style w:type="paragraph" w:styleId="15">
    <w:name w:val="toc 6"/>
    <w:basedOn w:val="16"/>
    <w:next w:val="1"/>
    <w:semiHidden/>
    <w:qFormat/>
    <w:uiPriority w:val="0"/>
    <w:pPr>
      <w:tabs>
        <w:tab w:val="right" w:pos="1701"/>
      </w:tabs>
      <w:ind w:left="1985" w:hanging="1985"/>
    </w:pPr>
  </w:style>
  <w:style w:type="paragraph" w:styleId="16">
    <w:name w:val="toc 5"/>
    <w:basedOn w:val="17"/>
    <w:next w:val="1"/>
    <w:semiHidden/>
    <w:qFormat/>
    <w:uiPriority w:val="0"/>
    <w:pPr>
      <w:tabs>
        <w:tab w:val="right" w:pos="1701"/>
      </w:tabs>
      <w:ind w:left="1701" w:hanging="1701"/>
    </w:pPr>
  </w:style>
  <w:style w:type="paragraph" w:styleId="17">
    <w:name w:val="toc 4"/>
    <w:basedOn w:val="18"/>
    <w:next w:val="1"/>
    <w:semiHidden/>
    <w:qFormat/>
    <w:uiPriority w:val="0"/>
    <w:pPr>
      <w:tabs>
        <w:tab w:val="left" w:pos="1701"/>
      </w:tabs>
      <w:ind w:left="1418" w:hanging="1418"/>
    </w:pPr>
  </w:style>
  <w:style w:type="paragraph" w:styleId="18">
    <w:name w:val="toc 3"/>
    <w:basedOn w:val="19"/>
    <w:next w:val="1"/>
    <w:semiHidden/>
    <w:qFormat/>
    <w:uiPriority w:val="0"/>
    <w:pPr>
      <w:tabs>
        <w:tab w:val="left" w:pos="1701"/>
      </w:tabs>
      <w:ind w:left="1134" w:hanging="1134"/>
    </w:pPr>
  </w:style>
  <w:style w:type="paragraph" w:styleId="19">
    <w:name w:val="toc 2"/>
    <w:basedOn w:val="20"/>
    <w:next w:val="1"/>
    <w:semiHidden/>
    <w:qFormat/>
    <w:uiPriority w:val="0"/>
    <w:pPr>
      <w:tabs>
        <w:tab w:val="left" w:pos="1701"/>
      </w:tabs>
      <w:spacing w:before="0"/>
      <w:ind w:left="851" w:hanging="851"/>
    </w:pPr>
    <w:rPr>
      <w:szCs w:val="20"/>
    </w:rPr>
  </w:style>
  <w:style w:type="paragraph" w:styleId="20">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numPr>
        <w:numId w:val="2"/>
      </w:numPr>
      <w:tabs>
        <w:tab w:val="left" w:pos="510"/>
        <w:tab w:val="left" w:pos="794"/>
        <w:tab w:val="left" w:pos="1077"/>
        <w:tab w:val="left" w:pos="1361"/>
      </w:tabs>
    </w:pPr>
  </w:style>
  <w:style w:type="paragraph" w:styleId="24">
    <w:name w:val="List Bullet 3"/>
    <w:basedOn w:val="25"/>
    <w:qFormat/>
    <w:uiPriority w:val="0"/>
    <w:pPr>
      <w:numPr>
        <w:numId w:val="3"/>
      </w:numPr>
      <w:tabs>
        <w:tab w:val="left" w:pos="510"/>
        <w:tab w:val="left" w:pos="794"/>
        <w:tab w:val="left" w:pos="1077"/>
      </w:tabs>
    </w:pPr>
  </w:style>
  <w:style w:type="paragraph" w:styleId="25">
    <w:name w:val="List Bullet 2"/>
    <w:basedOn w:val="26"/>
    <w:qFormat/>
    <w:uiPriority w:val="0"/>
    <w:pPr>
      <w:numPr>
        <w:ilvl w:val="0"/>
        <w:numId w:val="4"/>
      </w:numPr>
      <w:tabs>
        <w:tab w:val="left" w:pos="510"/>
      </w:tabs>
    </w:pPr>
  </w:style>
  <w:style w:type="paragraph" w:styleId="26">
    <w:name w:val="List Bullet"/>
    <w:basedOn w:val="27"/>
    <w:qFormat/>
    <w:uiPriority w:val="0"/>
    <w:pPr>
      <w:numPr>
        <w:ilvl w:val="0"/>
        <w:numId w:val="5"/>
      </w:numPr>
    </w:pPr>
  </w:style>
  <w:style w:type="paragraph" w:styleId="27">
    <w:name w:val="Body Text"/>
    <w:basedOn w:val="1"/>
    <w:link w:val="91"/>
    <w:qFormat/>
    <w:uiPriority w:val="0"/>
    <w:rPr>
      <w:rFonts w:eastAsia="Malgun Gothic"/>
    </w:rPr>
  </w:style>
  <w:style w:type="paragraph" w:styleId="28">
    <w:name w:val="caption"/>
    <w:basedOn w:val="1"/>
    <w:next w:val="1"/>
    <w:qFormat/>
    <w:uiPriority w:val="0"/>
    <w:pPr>
      <w:spacing w:after="240"/>
      <w:jc w:val="center"/>
    </w:pPr>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113"/>
    <w:semiHidden/>
    <w:qFormat/>
    <w:uiPriority w:val="0"/>
  </w:style>
  <w:style w:type="paragraph" w:styleId="31">
    <w:name w:val="List Bullet 5"/>
    <w:basedOn w:val="23"/>
    <w:qFormat/>
    <w:uiPriority w:val="0"/>
    <w:pPr>
      <w:numPr>
        <w:numId w:val="6"/>
      </w:numPr>
      <w:tabs>
        <w:tab w:val="left" w:pos="1644"/>
        <w:tab w:val="clear" w:pos="1361"/>
      </w:tabs>
    </w:pPr>
  </w:style>
  <w:style w:type="paragraph" w:styleId="32">
    <w:name w:val="toc 8"/>
    <w:basedOn w:val="20"/>
    <w:next w:val="1"/>
    <w:semiHidden/>
    <w:qFormat/>
    <w:uiPriority w:val="0"/>
    <w:pPr>
      <w:spacing w:before="180"/>
      <w:ind w:left="2693" w:hanging="2693"/>
    </w:pPr>
    <w:rPr>
      <w:b w:val="0"/>
      <w:bCs/>
    </w:rPr>
  </w:style>
  <w:style w:type="paragraph" w:styleId="33">
    <w:name w:val="Balloon Text"/>
    <w:basedOn w:val="1"/>
    <w:semiHidden/>
    <w:qFormat/>
    <w:uiPriority w:val="0"/>
    <w:rPr>
      <w:rFonts w:ascii="Tahoma" w:hAnsi="Tahoma" w:cs="Tahoma"/>
      <w:sz w:val="16"/>
      <w:szCs w:val="16"/>
    </w:rPr>
  </w:style>
  <w:style w:type="paragraph" w:styleId="34">
    <w:name w:val="footer"/>
    <w:basedOn w:val="35"/>
    <w:semiHidden/>
    <w:qFormat/>
    <w:uiPriority w:val="0"/>
    <w:pPr>
      <w:jc w:val="center"/>
    </w:pPr>
    <w:rPr>
      <w:i/>
      <w:iCs/>
    </w:rPr>
  </w:style>
  <w:style w:type="paragraph" w:styleId="35">
    <w:name w:val="header"/>
    <w:basedOn w:val="1"/>
    <w:link w:val="99"/>
    <w:qFormat/>
    <w:uiPriority w:val="0"/>
    <w:pPr>
      <w:widowControl w:val="0"/>
    </w:pPr>
    <w:rPr>
      <w:rFonts w:eastAsia="MS Mincho"/>
      <w:b/>
      <w:sz w:val="24"/>
      <w:szCs w:val="24"/>
    </w:rPr>
  </w:style>
  <w:style w:type="paragraph" w:styleId="36">
    <w:name w:val="footnote text"/>
    <w:basedOn w:val="1"/>
    <w:semiHidden/>
    <w:qFormat/>
    <w:uiPriority w:val="0"/>
    <w:pPr>
      <w:keepLines/>
      <w:spacing w:after="0"/>
      <w:ind w:left="454" w:hanging="454"/>
    </w:pPr>
    <w:rPr>
      <w:sz w:val="16"/>
      <w:szCs w:val="16"/>
    </w:rPr>
  </w:style>
  <w:style w:type="paragraph" w:styleId="37">
    <w:name w:val="List 5"/>
    <w:basedOn w:val="38"/>
    <w:qFormat/>
    <w:uiPriority w:val="0"/>
    <w:pPr>
      <w:ind w:left="1702"/>
    </w:pPr>
  </w:style>
  <w:style w:type="paragraph" w:styleId="38">
    <w:name w:val="List 4"/>
    <w:basedOn w:val="11"/>
    <w:qFormat/>
    <w:uiPriority w:val="0"/>
    <w:pPr>
      <w:ind w:left="1418"/>
    </w:pPr>
  </w:style>
  <w:style w:type="paragraph" w:styleId="39">
    <w:name w:val="table of figures"/>
    <w:basedOn w:val="1"/>
    <w:next w:val="1"/>
    <w:qFormat/>
    <w:uiPriority w:val="99"/>
    <w:pPr>
      <w:ind w:left="1418" w:hanging="1418"/>
      <w:jc w:val="left"/>
    </w:pPr>
    <w:rPr>
      <w:b/>
    </w:rPr>
  </w:style>
  <w:style w:type="paragraph" w:styleId="40">
    <w:name w:val="toc 9"/>
    <w:basedOn w:val="32"/>
    <w:next w:val="1"/>
    <w:semiHidden/>
    <w:qFormat/>
    <w:uiPriority w:val="0"/>
    <w:pPr>
      <w:ind w:left="1418" w:hanging="1418"/>
    </w:pPr>
  </w:style>
  <w:style w:type="paragraph" w:styleId="41">
    <w:name w:val="Normal (Web)"/>
    <w:basedOn w:val="1"/>
    <w:qFormat/>
    <w:uiPriority w:val="0"/>
    <w:rPr>
      <w:sz w:val="24"/>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page number"/>
    <w:basedOn w:val="47"/>
    <w:semiHidden/>
    <w:qFormat/>
    <w:uiPriority w:val="0"/>
  </w:style>
  <w:style w:type="character" w:styleId="49">
    <w:name w:val="FollowedHyperlink"/>
    <w:semiHidden/>
    <w:qFormat/>
    <w:uiPriority w:val="0"/>
    <w:rPr>
      <w:color w:val="FF0000"/>
      <w:u w:val="single"/>
    </w:rPr>
  </w:style>
  <w:style w:type="character" w:styleId="50">
    <w:name w:val="Hyperlink"/>
    <w:qFormat/>
    <w:uiPriority w:val="99"/>
    <w:rPr>
      <w:color w:val="0000FF"/>
      <w:u w:val="single"/>
    </w:rPr>
  </w:style>
  <w:style w:type="character" w:styleId="51">
    <w:name w:val="annotation reference"/>
    <w:semiHidden/>
    <w:qFormat/>
    <w:uiPriority w:val="0"/>
    <w:rPr>
      <w:sz w:val="16"/>
      <w:szCs w:val="16"/>
    </w:rPr>
  </w:style>
  <w:style w:type="character" w:styleId="52">
    <w:name w:val="footnote reference"/>
    <w:semiHidden/>
    <w:qFormat/>
    <w:uiPriority w:val="0"/>
    <w:rPr>
      <w:b/>
      <w:bCs/>
      <w:position w:val="6"/>
      <w:sz w:val="16"/>
      <w:szCs w:val="16"/>
    </w:rPr>
  </w:style>
  <w:style w:type="paragraph" w:customStyle="1" w:styleId="53">
    <w:name w:val="Doc-title"/>
    <w:basedOn w:val="1"/>
    <w:next w:val="54"/>
    <w:qFormat/>
    <w:uiPriority w:val="0"/>
    <w:pPr>
      <w:spacing w:before="60"/>
      <w:ind w:left="1259" w:hanging="1259"/>
    </w:pPr>
  </w:style>
  <w:style w:type="paragraph" w:customStyle="1" w:styleId="54">
    <w:name w:val="Doc-text2"/>
    <w:basedOn w:val="1"/>
    <w:link w:val="93"/>
    <w:qFormat/>
    <w:uiPriority w:val="0"/>
    <w:pPr>
      <w:tabs>
        <w:tab w:val="left" w:pos="1622"/>
      </w:tabs>
      <w:adjustRightInd/>
      <w:spacing w:after="0"/>
      <w:ind w:left="1622" w:hanging="363"/>
      <w:jc w:val="left"/>
      <w:textAlignment w:val="auto"/>
    </w:pPr>
    <w:rPr>
      <w:rFonts w:eastAsia="MS Mincho"/>
      <w:szCs w:val="24"/>
    </w:rPr>
  </w:style>
  <w:style w:type="paragraph" w:customStyle="1" w:styleId="55">
    <w:name w:val="Figure"/>
    <w:basedOn w:val="1"/>
    <w:next w:val="28"/>
    <w:qFormat/>
    <w:uiPriority w:val="0"/>
    <w:pPr>
      <w:keepNext/>
      <w:keepLines/>
      <w:spacing w:before="180"/>
      <w:jc w:val="center"/>
    </w:pPr>
  </w:style>
  <w:style w:type="paragraph" w:customStyle="1" w:styleId="56">
    <w:name w:val="3GPP_Header"/>
    <w:basedOn w:val="1"/>
    <w:qFormat/>
    <w:uiPriority w:val="0"/>
    <w:pPr>
      <w:tabs>
        <w:tab w:val="left" w:pos="1701"/>
        <w:tab w:val="right" w:pos="9639"/>
      </w:tabs>
      <w:spacing w:after="240"/>
    </w:pPr>
    <w:rPr>
      <w:b/>
      <w:sz w:val="24"/>
    </w:rPr>
  </w:style>
  <w:style w:type="paragraph" w:customStyle="1" w:styleId="57">
    <w:name w:val="EQ"/>
    <w:basedOn w:val="1"/>
    <w:next w:val="1"/>
    <w:qFormat/>
    <w:uiPriority w:val="0"/>
    <w:pPr>
      <w:keepLines/>
      <w:tabs>
        <w:tab w:val="center" w:pos="4536"/>
        <w:tab w:val="right" w:pos="9072"/>
      </w:tabs>
      <w:spacing w:after="180"/>
      <w:jc w:val="left"/>
    </w:pPr>
    <w:rPr>
      <w:lang w:eastAsia="en-US"/>
    </w:rPr>
  </w:style>
  <w:style w:type="paragraph" w:customStyle="1" w:styleId="58">
    <w:name w:val="Editor's Note"/>
    <w:basedOn w:val="1"/>
    <w:qFormat/>
    <w:uiPriority w:val="0"/>
    <w:pPr>
      <w:keepLines/>
      <w:spacing w:after="180"/>
      <w:ind w:left="1135" w:hanging="851"/>
      <w:jc w:val="left"/>
    </w:pPr>
    <w:rPr>
      <w:color w:val="FF0000"/>
      <w:lang w:eastAsia="en-US"/>
    </w:rPr>
  </w:style>
  <w:style w:type="paragraph" w:customStyle="1" w:styleId="59">
    <w:name w:val="Reference"/>
    <w:basedOn w:val="1"/>
    <w:qFormat/>
    <w:uiPriority w:val="0"/>
    <w:pPr>
      <w:numPr>
        <w:ilvl w:val="0"/>
        <w:numId w:val="7"/>
      </w:numPr>
    </w:pPr>
  </w:style>
  <w:style w:type="paragraph" w:customStyle="1" w:styleId="60">
    <w:name w:val="B1"/>
    <w:basedOn w:val="13"/>
    <w:link w:val="101"/>
    <w:qFormat/>
    <w:uiPriority w:val="0"/>
    <w:pPr>
      <w:spacing w:after="180"/>
      <w:jc w:val="left"/>
    </w:pPr>
    <w:rPr>
      <w:lang w:eastAsia="en-US"/>
    </w:rPr>
  </w:style>
  <w:style w:type="paragraph" w:customStyle="1" w:styleId="61">
    <w:name w:val="B2"/>
    <w:basedOn w:val="12"/>
    <w:qFormat/>
    <w:uiPriority w:val="0"/>
    <w:pPr>
      <w:spacing w:after="180"/>
      <w:jc w:val="left"/>
    </w:pPr>
    <w:rPr>
      <w:lang w:eastAsia="en-US"/>
    </w:rPr>
  </w:style>
  <w:style w:type="paragraph" w:customStyle="1" w:styleId="62">
    <w:name w:val="B3"/>
    <w:basedOn w:val="11"/>
    <w:qFormat/>
    <w:uiPriority w:val="0"/>
    <w:pPr>
      <w:spacing w:after="180"/>
      <w:jc w:val="left"/>
    </w:pPr>
    <w:rPr>
      <w:lang w:eastAsia="en-US"/>
    </w:rPr>
  </w:style>
  <w:style w:type="paragraph" w:customStyle="1" w:styleId="63">
    <w:name w:val="B4"/>
    <w:basedOn w:val="38"/>
    <w:qFormat/>
    <w:uiPriority w:val="0"/>
    <w:pPr>
      <w:spacing w:after="180"/>
      <w:jc w:val="left"/>
    </w:pPr>
    <w:rPr>
      <w:lang w:eastAsia="en-US"/>
    </w:rPr>
  </w:style>
  <w:style w:type="paragraph" w:customStyle="1" w:styleId="64">
    <w:name w:val="Proposal"/>
    <w:basedOn w:val="1"/>
    <w:qFormat/>
    <w:uiPriority w:val="0"/>
    <w:pPr>
      <w:numPr>
        <w:ilvl w:val="0"/>
        <w:numId w:val="8"/>
      </w:numPr>
      <w:tabs>
        <w:tab w:val="left" w:pos="1701"/>
      </w:tabs>
    </w:pPr>
    <w:rPr>
      <w:b/>
      <w:bCs/>
    </w:rPr>
  </w:style>
  <w:style w:type="paragraph" w:customStyle="1" w:styleId="65">
    <w:name w:val="B5"/>
    <w:basedOn w:val="37"/>
    <w:qFormat/>
    <w:uiPriority w:val="0"/>
    <w:pPr>
      <w:spacing w:after="180"/>
      <w:jc w:val="left"/>
    </w:pPr>
    <w:rPr>
      <w:lang w:eastAsia="en-US"/>
    </w:rPr>
  </w:style>
  <w:style w:type="paragraph" w:customStyle="1" w:styleId="66">
    <w:name w:val="EX"/>
    <w:basedOn w:val="1"/>
    <w:qFormat/>
    <w:uiPriority w:val="0"/>
    <w:pPr>
      <w:keepLines/>
      <w:spacing w:after="180"/>
      <w:ind w:left="1702" w:hanging="1418"/>
      <w:jc w:val="left"/>
    </w:pPr>
    <w:rPr>
      <w:lang w:eastAsia="en-US"/>
    </w:rPr>
  </w:style>
  <w:style w:type="paragraph" w:customStyle="1" w:styleId="67">
    <w:name w:val="EW"/>
    <w:basedOn w:val="66"/>
    <w:qFormat/>
    <w:uiPriority w:val="0"/>
    <w:pPr>
      <w:spacing w:after="0"/>
    </w:pPr>
  </w:style>
  <w:style w:type="paragraph" w:customStyle="1" w:styleId="68">
    <w:name w:val="TAL"/>
    <w:basedOn w:val="1"/>
    <w:link w:val="95"/>
    <w:qFormat/>
    <w:uiPriority w:val="0"/>
    <w:pPr>
      <w:keepNext/>
      <w:keepLines/>
      <w:spacing w:after="0"/>
      <w:jc w:val="left"/>
    </w:pPr>
    <w:rPr>
      <w:rFonts w:eastAsia="Malgun Gothic"/>
      <w:sz w:val="18"/>
    </w:rPr>
  </w:style>
  <w:style w:type="paragraph" w:customStyle="1" w:styleId="69">
    <w:name w:val="TAC"/>
    <w:basedOn w:val="68"/>
    <w:link w:val="103"/>
    <w:qFormat/>
    <w:uiPriority w:val="0"/>
    <w:pPr>
      <w:jc w:val="center"/>
    </w:pPr>
    <w:rPr>
      <w:rFonts w:eastAsia="Times New Roman"/>
      <w:lang w:eastAsia="en-US"/>
    </w:rPr>
  </w:style>
  <w:style w:type="paragraph" w:customStyle="1" w:styleId="70">
    <w:name w:val="TAH"/>
    <w:basedOn w:val="69"/>
    <w:link w:val="96"/>
    <w:qFormat/>
    <w:uiPriority w:val="0"/>
    <w:rPr>
      <w:rFonts w:eastAsia="Malgun Gothic"/>
      <w:b/>
    </w:rPr>
  </w:style>
  <w:style w:type="paragraph" w:customStyle="1" w:styleId="71">
    <w:name w:val="TAN"/>
    <w:basedOn w:val="68"/>
    <w:qFormat/>
    <w:uiPriority w:val="0"/>
    <w:pPr>
      <w:ind w:left="851" w:hanging="851"/>
    </w:pPr>
  </w:style>
  <w:style w:type="paragraph" w:customStyle="1" w:styleId="72">
    <w:name w:val="TAR"/>
    <w:basedOn w:val="68"/>
    <w:qFormat/>
    <w:uiPriority w:val="0"/>
    <w:pPr>
      <w:jc w:val="right"/>
    </w:pPr>
  </w:style>
  <w:style w:type="paragraph" w:customStyle="1" w:styleId="73">
    <w:name w:val="TH"/>
    <w:basedOn w:val="1"/>
    <w:link w:val="100"/>
    <w:qFormat/>
    <w:uiPriority w:val="0"/>
    <w:pPr>
      <w:keepNext/>
      <w:keepLines/>
      <w:spacing w:before="60" w:after="180"/>
      <w:jc w:val="center"/>
    </w:pPr>
    <w:rPr>
      <w:b/>
      <w:lang w:eastAsia="en-US"/>
    </w:rPr>
  </w:style>
  <w:style w:type="paragraph" w:customStyle="1" w:styleId="74">
    <w:name w:val="TF"/>
    <w:basedOn w:val="73"/>
    <w:link w:val="102"/>
    <w:qFormat/>
    <w:uiPriority w:val="0"/>
    <w:pPr>
      <w:spacing w:before="0" w:after="240"/>
    </w:pPr>
  </w:style>
  <w:style w:type="paragraph" w:customStyle="1" w:styleId="75">
    <w:name w:val="TT"/>
    <w:basedOn w:val="2"/>
    <w:next w:val="1"/>
    <w:qFormat/>
    <w:uiPriority w:val="0"/>
    <w:pPr>
      <w:numPr>
        <w:numId w:val="0"/>
      </w:numPr>
      <w:ind w:left="1134" w:hanging="1134"/>
      <w:outlineLvl w:val="9"/>
    </w:pPr>
    <w:rPr>
      <w:szCs w:val="20"/>
      <w:lang w:eastAsia="en-US"/>
    </w:rPr>
  </w:style>
  <w:style w:type="paragraph" w:customStyle="1" w:styleId="76">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7">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8">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9">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0">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1">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2">
    <w:name w:val="ZTD"/>
    <w:basedOn w:val="77"/>
    <w:qFormat/>
    <w:uiPriority w:val="0"/>
    <w:pPr>
      <w:framePr w:h="284" w:wrap="notBeside" w:vAnchor="margin" w:hAnchor="text" w:y="852"/>
    </w:pPr>
    <w:rPr>
      <w:i w:val="0"/>
      <w:sz w:val="40"/>
    </w:rPr>
  </w:style>
  <w:style w:type="paragraph" w:customStyle="1" w:styleId="83">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4">
    <w:name w:val="ZV"/>
    <w:basedOn w:val="83"/>
    <w:qFormat/>
    <w:uiPriority w:val="0"/>
    <w:pPr>
      <w:framePr w:wrap="notBeside" w:vAnchor="margin" w:hAnchor="text" w:y="16161"/>
    </w:pPr>
  </w:style>
  <w:style w:type="paragraph" w:customStyle="1" w:styleId="85">
    <w:name w:val="FP"/>
    <w:basedOn w:val="1"/>
    <w:qFormat/>
    <w:uiPriority w:val="0"/>
    <w:pPr>
      <w:spacing w:after="0"/>
      <w:jc w:val="left"/>
    </w:pPr>
    <w:rPr>
      <w:lang w:eastAsia="en-US"/>
    </w:rPr>
  </w:style>
  <w:style w:type="paragraph" w:customStyle="1" w:styleId="86">
    <w:name w:val="Observation"/>
    <w:basedOn w:val="64"/>
    <w:qFormat/>
    <w:uiPriority w:val="0"/>
    <w:pPr>
      <w:numPr>
        <w:ilvl w:val="0"/>
        <w:numId w:val="9"/>
      </w:numPr>
    </w:pPr>
  </w:style>
  <w:style w:type="paragraph" w:customStyle="1" w:styleId="8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8">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9">
    <w:name w:val="列出段落2"/>
    <w:basedOn w:val="1"/>
    <w:link w:val="104"/>
    <w:qFormat/>
    <w:uiPriority w:val="34"/>
    <w:pPr>
      <w:adjustRightInd/>
      <w:spacing w:after="180"/>
      <w:ind w:left="720"/>
      <w:contextualSpacing/>
      <w:textAlignment w:val="auto"/>
    </w:pPr>
    <w:rPr>
      <w:rFonts w:eastAsia="Arial Unicode MS"/>
      <w:lang w:eastAsia="en-US"/>
    </w:rPr>
  </w:style>
  <w:style w:type="character" w:customStyle="1" w:styleId="90">
    <w:name w:val="标题 1 Char"/>
    <w:link w:val="2"/>
    <w:qFormat/>
    <w:uiPriority w:val="0"/>
    <w:rPr>
      <w:rFonts w:ascii="Arial" w:hAnsi="Arial"/>
      <w:sz w:val="36"/>
      <w:szCs w:val="36"/>
      <w:lang w:eastAsia="zh-CN" w:bidi="ar-SA"/>
    </w:rPr>
  </w:style>
  <w:style w:type="character" w:customStyle="1" w:styleId="91">
    <w:name w:val="正文文本 Char"/>
    <w:link w:val="27"/>
    <w:qFormat/>
    <w:uiPriority w:val="0"/>
    <w:rPr>
      <w:rFonts w:ascii="Arial" w:hAnsi="Arial"/>
      <w:lang w:eastAsia="zh-CN"/>
    </w:rPr>
  </w:style>
  <w:style w:type="character" w:customStyle="1" w:styleId="92">
    <w:name w:val="ZGSM"/>
    <w:qFormat/>
    <w:uiPriority w:val="0"/>
  </w:style>
  <w:style w:type="character" w:customStyle="1" w:styleId="93">
    <w:name w:val="Doc-text2 Char"/>
    <w:link w:val="54"/>
    <w:qFormat/>
    <w:uiPriority w:val="0"/>
    <w:rPr>
      <w:rFonts w:ascii="Arial" w:hAnsi="Arial" w:eastAsia="MS Mincho"/>
      <w:szCs w:val="24"/>
    </w:rPr>
  </w:style>
  <w:style w:type="character" w:customStyle="1" w:styleId="94">
    <w:name w:val="PL Char"/>
    <w:link w:val="87"/>
    <w:qFormat/>
    <w:locked/>
    <w:uiPriority w:val="0"/>
    <w:rPr>
      <w:rFonts w:ascii="Courier New" w:hAnsi="Courier New"/>
      <w:sz w:val="16"/>
      <w:lang w:bidi="ar-SA"/>
    </w:rPr>
  </w:style>
  <w:style w:type="character" w:customStyle="1" w:styleId="95">
    <w:name w:val="TAL Car"/>
    <w:link w:val="68"/>
    <w:qFormat/>
    <w:locked/>
    <w:uiPriority w:val="0"/>
    <w:rPr>
      <w:rFonts w:ascii="Arial" w:hAnsi="Arial"/>
      <w:sz w:val="18"/>
    </w:rPr>
  </w:style>
  <w:style w:type="character" w:customStyle="1" w:styleId="96">
    <w:name w:val="TAH Car"/>
    <w:link w:val="70"/>
    <w:qFormat/>
    <w:locked/>
    <w:uiPriority w:val="0"/>
    <w:rPr>
      <w:rFonts w:ascii="Arial" w:hAnsi="Arial"/>
      <w:b/>
      <w:sz w:val="18"/>
    </w:rPr>
  </w:style>
  <w:style w:type="character" w:customStyle="1" w:styleId="97">
    <w:name w:val="未处理的提及1"/>
    <w:unhideWhenUsed/>
    <w:qFormat/>
    <w:uiPriority w:val="99"/>
    <w:rPr>
      <w:color w:val="808080"/>
      <w:shd w:val="clear" w:color="auto" w:fill="E6E6E6"/>
    </w:rPr>
  </w:style>
  <w:style w:type="character" w:customStyle="1" w:styleId="98">
    <w:name w:val="占位符文本1"/>
    <w:semiHidden/>
    <w:qFormat/>
    <w:uiPriority w:val="99"/>
    <w:rPr>
      <w:color w:val="808080"/>
    </w:rPr>
  </w:style>
  <w:style w:type="character" w:customStyle="1" w:styleId="99">
    <w:name w:val="页眉 Char"/>
    <w:link w:val="35"/>
    <w:qFormat/>
    <w:uiPriority w:val="0"/>
    <w:rPr>
      <w:rFonts w:ascii="Arial" w:hAnsi="Arial" w:eastAsia="MS Mincho" w:cs="Arial"/>
      <w:b/>
      <w:sz w:val="24"/>
      <w:szCs w:val="24"/>
    </w:rPr>
  </w:style>
  <w:style w:type="character" w:customStyle="1" w:styleId="100">
    <w:name w:val="TH Char"/>
    <w:link w:val="73"/>
    <w:qFormat/>
    <w:uiPriority w:val="0"/>
    <w:rPr>
      <w:rFonts w:ascii="Arial" w:hAnsi="Arial" w:eastAsia="Times New Roman"/>
      <w:b/>
      <w:lang w:eastAsia="en-US"/>
    </w:rPr>
  </w:style>
  <w:style w:type="character" w:customStyle="1" w:styleId="101">
    <w:name w:val="B1 Char1"/>
    <w:link w:val="60"/>
    <w:qFormat/>
    <w:uiPriority w:val="0"/>
    <w:rPr>
      <w:rFonts w:ascii="Arial" w:hAnsi="Arial" w:eastAsia="Times New Roman"/>
      <w:lang w:eastAsia="en-US"/>
    </w:rPr>
  </w:style>
  <w:style w:type="character" w:customStyle="1" w:styleId="102">
    <w:name w:val="TF Char"/>
    <w:link w:val="74"/>
    <w:qFormat/>
    <w:uiPriority w:val="0"/>
    <w:rPr>
      <w:rFonts w:ascii="Arial" w:hAnsi="Arial" w:eastAsia="Times New Roman"/>
      <w:b/>
      <w:lang w:eastAsia="en-US"/>
    </w:rPr>
  </w:style>
  <w:style w:type="character" w:customStyle="1" w:styleId="103">
    <w:name w:val="TAC Char"/>
    <w:link w:val="69"/>
    <w:qFormat/>
    <w:uiPriority w:val="0"/>
    <w:rPr>
      <w:rFonts w:ascii="Arial" w:hAnsi="Arial" w:eastAsia="Times New Roman"/>
      <w:sz w:val="18"/>
      <w:lang w:eastAsia="en-US"/>
    </w:rPr>
  </w:style>
  <w:style w:type="character" w:customStyle="1" w:styleId="104">
    <w:name w:val="列出段落 Char"/>
    <w:link w:val="89"/>
    <w:qFormat/>
    <w:locked/>
    <w:uiPriority w:val="34"/>
    <w:rPr>
      <w:rFonts w:ascii="Arial" w:hAnsi="Arial" w:eastAsia="Arial Unicode MS"/>
      <w:lang w:eastAsia="en-US"/>
    </w:rPr>
  </w:style>
  <w:style w:type="paragraph" w:customStyle="1" w:styleId="105">
    <w:name w:val="CR Cover Page"/>
    <w:link w:val="106"/>
    <w:qFormat/>
    <w:uiPriority w:val="0"/>
    <w:pPr>
      <w:spacing w:after="120"/>
    </w:pPr>
    <w:rPr>
      <w:rFonts w:ascii="Arial" w:hAnsi="Arial" w:eastAsia="MS Mincho" w:cs="Times New Roman"/>
      <w:lang w:val="en-GB" w:eastAsia="en-US" w:bidi="ar-SA"/>
    </w:rPr>
  </w:style>
  <w:style w:type="character" w:customStyle="1" w:styleId="106">
    <w:name w:val="CR Cover Page Zchn"/>
    <w:link w:val="105"/>
    <w:qFormat/>
    <w:uiPriority w:val="0"/>
    <w:rPr>
      <w:rFonts w:ascii="Arial" w:hAnsi="Arial" w:eastAsia="MS Mincho"/>
      <w:lang w:val="en-GB" w:eastAsia="en-US" w:bidi="ar-SA"/>
    </w:rPr>
  </w:style>
  <w:style w:type="paragraph" w:customStyle="1" w:styleId="107">
    <w:name w:val="Agreement"/>
    <w:basedOn w:val="1"/>
    <w:next w:val="54"/>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8">
    <w:name w:val="목록 단"/>
    <w:basedOn w:val="1"/>
    <w:next w:val="109"/>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9">
    <w:name w:val="List Paragraph"/>
    <w:basedOn w:val="1"/>
    <w:qFormat/>
    <w:uiPriority w:val="34"/>
    <w:pPr>
      <w:ind w:firstLine="420" w:firstLineChars="200"/>
    </w:pPr>
  </w:style>
  <w:style w:type="paragraph" w:customStyle="1" w:styleId="110">
    <w:name w:val="Doc-comment"/>
    <w:basedOn w:val="1"/>
    <w:next w:val="54"/>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1">
    <w:name w:val="Comments"/>
    <w:basedOn w:val="1"/>
    <w:link w:val="112"/>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2">
    <w:name w:val="Comments Char"/>
    <w:link w:val="111"/>
    <w:qFormat/>
    <w:uiPriority w:val="0"/>
    <w:rPr>
      <w:rFonts w:ascii="Arial" w:hAnsi="Arial" w:eastAsia="MS Mincho"/>
      <w:i/>
      <w:sz w:val="18"/>
      <w:szCs w:val="24"/>
      <w:lang w:val="en-GB" w:eastAsia="en-GB"/>
    </w:rPr>
  </w:style>
  <w:style w:type="character" w:customStyle="1" w:styleId="113">
    <w:name w:val="批注文字 Char"/>
    <w:link w:val="30"/>
    <w:semiHidden/>
    <w:qFormat/>
    <w:uiPriority w:val="0"/>
    <w:rPr>
      <w:rFonts w:ascii="Arial" w:hAnsi="Arial" w:eastAsia="Times New Roman"/>
    </w:rPr>
  </w:style>
  <w:style w:type="paragraph" w:customStyle="1" w:styleId="114">
    <w:name w:val="NO"/>
    <w:basedOn w:val="1"/>
    <w:qFormat/>
    <w:uiPriority w:val="0"/>
    <w:pPr>
      <w:keepLines/>
      <w:ind w:left="1135" w:hanging="851"/>
    </w:pPr>
  </w:style>
  <w:style w:type="paragraph" w:customStyle="1" w:styleId="115">
    <w:name w:val="EmailDiscussion2"/>
    <w:basedOn w:val="54"/>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2A30F-D21A-453C-A273-41545589DCAB}">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Company>Ericsson</Company>
  <Pages>4</Pages>
  <Words>1139</Words>
  <Characters>6496</Characters>
  <Lines>54</Lines>
  <Paragraphs>15</Paragraphs>
  <TotalTime>2</TotalTime>
  <ScaleCrop>false</ScaleCrop>
  <LinksUpToDate>false</LinksUpToDate>
  <CharactersWithSpaces>7620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2022-08-10T03:08:00Z</dcterms:created>
  <dc:creator>Ericsson</dc:creator>
  <cp:keywords>Ericsson; TDoc; 3GPP</cp:keywords>
  <cp:lastModifiedBy>CMCC</cp:lastModifiedBy>
  <cp:lastPrinted>2021-08-05T02:34:00Z</cp:lastPrinted>
  <dcterms:modified xsi:type="dcterms:W3CDTF">2025-02-07T01:50:35Z</dcterms:modified>
  <dc:title>Ericsson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2052-11.8.2.12085</vt:lpwstr>
  </property>
  <property fmtid="{D5CDD505-2E9C-101B-9397-08002B2CF9AE}" pid="17" name="ICV">
    <vt:lpwstr>720FF2B7394E4A67B8EFE7C373BBE39F</vt:lpwstr>
  </property>
</Properties>
</file>